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02" w:rsidRPr="005F12B1" w:rsidRDefault="00C0223D">
      <w:pPr>
        <w:pStyle w:val="Title"/>
        <w:ind w:left="720" w:right="-18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>Programme de travail et horaire proposés</w:t>
      </w:r>
      <w:r w:rsidR="00873E02">
        <w:rPr>
          <w:rFonts w:ascii="Century Gothic" w:hAnsi="Century Gothic"/>
          <w:sz w:val="24"/>
          <w:szCs w:val="24"/>
        </w:rPr>
        <w:t xml:space="preserve"> </w:t>
      </w:r>
      <w:r w:rsidR="004E1056">
        <w:rPr>
          <w:rFonts w:ascii="Century Gothic" w:hAnsi="Century Gothic"/>
          <w:sz w:val="24"/>
          <w:szCs w:val="24"/>
        </w:rPr>
        <w:t>–</w:t>
      </w:r>
      <w:r w:rsidR="00873E02">
        <w:rPr>
          <w:rFonts w:ascii="Century Gothic" w:hAnsi="Century Gothic"/>
          <w:sz w:val="24"/>
          <w:szCs w:val="24"/>
        </w:rPr>
        <w:t xml:space="preserve"> </w:t>
      </w:r>
      <w:r w:rsidR="00035802">
        <w:rPr>
          <w:rFonts w:ascii="Century Gothic" w:hAnsi="Century Gothic"/>
          <w:sz w:val="24"/>
          <w:szCs w:val="24"/>
        </w:rPr>
        <w:t>24</w:t>
      </w:r>
      <w:r w:rsidR="00035802">
        <w:rPr>
          <w:rFonts w:ascii="Century Gothic" w:hAnsi="Century Gothic"/>
          <w:sz w:val="24"/>
          <w:szCs w:val="24"/>
          <w:vertAlign w:val="superscript"/>
        </w:rPr>
        <w:t>e</w:t>
      </w:r>
      <w:r w:rsidR="00035802">
        <w:rPr>
          <w:rFonts w:ascii="Century Gothic" w:hAnsi="Century Gothic"/>
          <w:sz w:val="24"/>
          <w:szCs w:val="24"/>
        </w:rPr>
        <w:t xml:space="preserve"> Conférence du PROE</w:t>
      </w:r>
    </w:p>
    <w:p w:rsidR="00AB2E1E" w:rsidRPr="00A65396" w:rsidRDefault="00FD2DC3" w:rsidP="00FD2DC3">
      <w:pPr>
        <w:pStyle w:val="Title"/>
        <w:tabs>
          <w:tab w:val="left" w:pos="8490"/>
        </w:tabs>
        <w:ind w:left="720" w:right="-17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</w:rPr>
        <w:tab/>
      </w:r>
    </w:p>
    <w:tbl>
      <w:tblPr>
        <w:tblW w:w="15735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86" w:type="dxa"/>
        </w:tblCellMar>
        <w:tblLook w:val="0000"/>
      </w:tblPr>
      <w:tblGrid>
        <w:gridCol w:w="709"/>
        <w:gridCol w:w="1702"/>
        <w:gridCol w:w="3686"/>
        <w:gridCol w:w="4253"/>
        <w:gridCol w:w="4109"/>
        <w:gridCol w:w="1276"/>
      </w:tblGrid>
      <w:tr w:rsidR="00B46A5A" w:rsidRPr="00BB5CD0" w:rsidTr="00CE4B1B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46A5A" w:rsidRPr="00BB5CD0" w:rsidRDefault="00B46A5A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Heure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46A5A" w:rsidRPr="00BB5CD0" w:rsidRDefault="00B46A5A" w:rsidP="00CB11BC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Lundi</w:t>
            </w:r>
            <w:r w:rsidR="00CB11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A5A" w:rsidRPr="00BB5CD0" w:rsidRDefault="00901BC8" w:rsidP="00CB11BC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Mardi</w:t>
            </w:r>
            <w:r w:rsidR="00CB11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A5A" w:rsidRPr="00BB5CD0" w:rsidRDefault="00901BC8" w:rsidP="00CB11BC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Mercredi</w:t>
            </w:r>
            <w:r w:rsidR="00CB11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18*</w:t>
            </w:r>
          </w:p>
        </w:tc>
        <w:tc>
          <w:tcPr>
            <w:tcW w:w="41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A5A" w:rsidRPr="00BB5CD0" w:rsidRDefault="00901BC8" w:rsidP="00CB11BC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Jeudi</w:t>
            </w:r>
            <w:r w:rsidR="00CB11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6A5A" w:rsidRPr="00BB5CD0" w:rsidRDefault="00B46A5A" w:rsidP="00CB11BC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Vendredi</w:t>
            </w:r>
            <w:r w:rsidR="00CB11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6927D1" w:rsidRPr="006927D1" w:rsidTr="003D4BBD">
        <w:trPr>
          <w:cantSplit/>
          <w:trHeight w:val="1480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DDDDDD" w:fill="auto"/>
          </w:tcPr>
          <w:p w:rsidR="006927D1" w:rsidRPr="00BF2F52" w:rsidRDefault="006927D1" w:rsidP="00A977E3">
            <w:pPr>
              <w:spacing w:after="60"/>
              <w:jc w:val="center"/>
              <w:rPr>
                <w:rFonts w:asciiTheme="minorHAnsi" w:hAnsiTheme="minorHAnsi" w:cs="Arial"/>
                <w:i/>
                <w:sz w:val="14"/>
              </w:rPr>
            </w:pPr>
            <w:r>
              <w:rPr>
                <w:rFonts w:asciiTheme="minorHAnsi" w:hAnsiTheme="minorHAnsi" w:cs="Arial"/>
                <w:sz w:val="14"/>
              </w:rPr>
              <w:t>8h30</w:t>
            </w:r>
          </w:p>
          <w:p w:rsidR="006927D1" w:rsidRPr="00BF2F52" w:rsidRDefault="006927D1" w:rsidP="00126352">
            <w:pPr>
              <w:spacing w:before="40" w:after="40"/>
              <w:ind w:left="-111"/>
              <w:jc w:val="center"/>
              <w:rPr>
                <w:rFonts w:asciiTheme="minorHAnsi" w:hAnsiTheme="minorHAnsi" w:cs="Arial"/>
                <w:i/>
                <w:sz w:val="14"/>
              </w:rPr>
            </w:pPr>
          </w:p>
          <w:p w:rsidR="006927D1" w:rsidRPr="00BF2F52" w:rsidRDefault="006927D1" w:rsidP="00126352">
            <w:pPr>
              <w:spacing w:before="40" w:after="40"/>
              <w:ind w:left="-111"/>
              <w:jc w:val="center"/>
              <w:rPr>
                <w:rFonts w:asciiTheme="minorHAnsi" w:hAnsiTheme="minorHAnsi" w:cs="Arial"/>
                <w:i/>
                <w:sz w:val="14"/>
              </w:rPr>
            </w:pPr>
          </w:p>
          <w:p w:rsidR="006927D1" w:rsidRPr="00BF2F52" w:rsidRDefault="006927D1" w:rsidP="00126352">
            <w:pPr>
              <w:jc w:val="center"/>
              <w:rPr>
                <w:rFonts w:asciiTheme="minorHAnsi" w:hAnsiTheme="minorHAnsi" w:cs="Arial"/>
                <w:i/>
                <w:sz w:val="14"/>
              </w:rPr>
            </w:pPr>
          </w:p>
          <w:p w:rsidR="006927D1" w:rsidRPr="00BF2F52" w:rsidRDefault="006927D1" w:rsidP="00126352">
            <w:pPr>
              <w:jc w:val="center"/>
              <w:rPr>
                <w:rFonts w:asciiTheme="minorHAnsi" w:hAnsiTheme="minorHAnsi" w:cs="Arial"/>
                <w:i/>
                <w:sz w:val="10"/>
              </w:rPr>
            </w:pPr>
          </w:p>
          <w:p w:rsidR="006927D1" w:rsidRPr="00BF2F52" w:rsidRDefault="006927D1" w:rsidP="00126352">
            <w:pPr>
              <w:spacing w:after="60"/>
              <w:ind w:left="-29"/>
              <w:jc w:val="center"/>
              <w:rPr>
                <w:rFonts w:asciiTheme="minorHAnsi" w:hAnsiTheme="minorHAnsi" w:cs="Arial"/>
                <w:sz w:val="14"/>
              </w:rPr>
            </w:pPr>
          </w:p>
          <w:p w:rsidR="006927D1" w:rsidRPr="00BF2F52" w:rsidRDefault="006927D1" w:rsidP="007B0E8B">
            <w:pPr>
              <w:spacing w:before="40" w:after="40"/>
              <w:rPr>
                <w:rFonts w:asciiTheme="minorHAnsi" w:hAnsiTheme="minorHAnsi" w:cs="Arial"/>
                <w:sz w:val="14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6" w:space="0" w:color="auto"/>
              <w:right w:val="single" w:sz="2" w:space="0" w:color="auto"/>
            </w:tcBorders>
            <w:textDirection w:val="btLr"/>
            <w:vAlign w:val="center"/>
          </w:tcPr>
          <w:p w:rsidR="006927D1" w:rsidRPr="00BB5CD0" w:rsidRDefault="006927D1" w:rsidP="003D4BBD">
            <w:pPr>
              <w:ind w:left="556" w:right="113" w:hanging="550"/>
              <w:jc w:val="center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bCs/>
                <w:sz w:val="36"/>
                <w:szCs w:val="36"/>
              </w:rPr>
              <w:t>FORUM OCÉANIEN</w:t>
            </w:r>
          </w:p>
          <w:p w:rsidR="006927D1" w:rsidRPr="00BB5CD0" w:rsidRDefault="006927D1" w:rsidP="003D4BBD">
            <w:pPr>
              <w:ind w:left="556" w:right="113" w:hanging="550"/>
              <w:jc w:val="center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bCs/>
                <w:sz w:val="36"/>
                <w:szCs w:val="36"/>
              </w:rPr>
              <w:t>SUR L</w:t>
            </w:r>
            <w:r w:rsidR="00CB11BC">
              <w:rPr>
                <w:rFonts w:ascii="Century Gothic" w:hAnsi="Century Gothic" w:cs="Arial"/>
                <w:b/>
                <w:bCs/>
                <w:sz w:val="36"/>
                <w:szCs w:val="36"/>
              </w:rPr>
              <w:t>’</w:t>
            </w:r>
            <w:r>
              <w:rPr>
                <w:rFonts w:ascii="Century Gothic" w:hAnsi="Century Gothic" w:cs="Arial"/>
                <w:b/>
                <w:bCs/>
                <w:sz w:val="36"/>
                <w:szCs w:val="36"/>
              </w:rPr>
              <w:t>ENVIRONNEMENT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</w:tcPr>
          <w:p w:rsidR="006927D1" w:rsidRPr="005A370C" w:rsidRDefault="006927D1" w:rsidP="00851910">
            <w:pPr>
              <w:ind w:left="340" w:hanging="3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ab/>
              <w:t>Prière</w:t>
            </w:r>
          </w:p>
          <w:p w:rsidR="006927D1" w:rsidRPr="005A370C" w:rsidRDefault="006927D1" w:rsidP="00851910">
            <w:pPr>
              <w:tabs>
                <w:tab w:val="left" w:pos="543"/>
              </w:tabs>
              <w:ind w:left="340" w:hanging="3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Nomination du </w:t>
            </w:r>
            <w:r w:rsidR="004E1056">
              <w:rPr>
                <w:rFonts w:ascii="Arial" w:hAnsi="Arial" w:cs="Arial"/>
                <w:sz w:val="14"/>
                <w:szCs w:val="14"/>
              </w:rPr>
              <w:t xml:space="preserve">Président </w:t>
            </w:r>
            <w:r>
              <w:rPr>
                <w:rFonts w:ascii="Arial" w:hAnsi="Arial" w:cs="Arial"/>
                <w:sz w:val="14"/>
                <w:szCs w:val="14"/>
              </w:rPr>
              <w:t xml:space="preserve">et du </w:t>
            </w:r>
            <w:r w:rsidR="004E1056">
              <w:rPr>
                <w:rFonts w:ascii="Arial" w:hAnsi="Arial" w:cs="Arial"/>
                <w:sz w:val="14"/>
                <w:szCs w:val="14"/>
              </w:rPr>
              <w:t>Vice</w:t>
            </w:r>
            <w:r>
              <w:rPr>
                <w:rFonts w:ascii="Arial" w:hAnsi="Arial" w:cs="Arial"/>
                <w:sz w:val="14"/>
                <w:szCs w:val="14"/>
              </w:rPr>
              <w:t>-président</w:t>
            </w:r>
          </w:p>
          <w:p w:rsidR="006927D1" w:rsidRPr="005A370C" w:rsidRDefault="006927D1" w:rsidP="00BF2F52">
            <w:pPr>
              <w:tabs>
                <w:tab w:val="left" w:pos="454"/>
              </w:tabs>
              <w:ind w:left="340" w:hanging="3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ab/>
              <w:t>Adoption de l</w:t>
            </w:r>
            <w:r w:rsidR="00CB11BC">
              <w:rPr>
                <w:rFonts w:ascii="Arial" w:hAnsi="Arial" w:cs="Arial"/>
                <w:sz w:val="14"/>
                <w:szCs w:val="14"/>
              </w:rPr>
              <w:t>’</w:t>
            </w:r>
            <w:r>
              <w:rPr>
                <w:rFonts w:ascii="Arial" w:hAnsi="Arial" w:cs="Arial"/>
                <w:sz w:val="14"/>
                <w:szCs w:val="14"/>
              </w:rPr>
              <w:t>ordre du jour et des procédures de travail</w:t>
            </w:r>
          </w:p>
          <w:p w:rsidR="006927D1" w:rsidRPr="005A370C" w:rsidRDefault="006927D1" w:rsidP="00BF2F52">
            <w:pPr>
              <w:tabs>
                <w:tab w:val="left" w:pos="454"/>
              </w:tabs>
              <w:ind w:left="340" w:right="4" w:hanging="3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CB11BC"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Mesures prises en application des décisions de la 23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 xml:space="preserve"> Conférence du PROE</w:t>
            </w:r>
          </w:p>
          <w:p w:rsidR="006927D1" w:rsidRPr="005A370C" w:rsidRDefault="006927D1" w:rsidP="004E1056">
            <w:pPr>
              <w:tabs>
                <w:tab w:val="left" w:pos="454"/>
              </w:tabs>
              <w:ind w:left="340" w:hanging="3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5.1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: Présentation du rapport annuel pour 2012 et exposé du Directeur général sur les r</w:t>
            </w:r>
            <w:r w:rsidR="004E1056">
              <w:rPr>
                <w:rFonts w:ascii="Arial" w:hAnsi="Arial" w:cs="Arial"/>
                <w:sz w:val="14"/>
                <w:szCs w:val="14"/>
              </w:rPr>
              <w:t>éalisations depuis la 23</w:t>
            </w:r>
            <w:r w:rsidR="004E1056" w:rsidRPr="004E1056">
              <w:rPr>
                <w:rFonts w:ascii="Arial" w:hAnsi="Arial" w:cs="Arial"/>
                <w:sz w:val="14"/>
                <w:szCs w:val="14"/>
                <w:vertAlign w:val="superscript"/>
              </w:rPr>
              <w:t>e</w:t>
            </w:r>
            <w:r w:rsidR="004E105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Conférence du PROE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6927D1" w:rsidRPr="005A370C" w:rsidRDefault="006927D1" w:rsidP="00592A8F">
            <w:pPr>
              <w:pStyle w:val="ListParagraph"/>
              <w:ind w:left="594" w:right="49" w:hanging="59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8.5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CB11BC"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Rapport du groupe de travail intersessions sur l</w:t>
            </w:r>
            <w:r w:rsidR="00CB11BC">
              <w:rPr>
                <w:rFonts w:ascii="Arial" w:hAnsi="Arial" w:cs="Arial"/>
                <w:sz w:val="14"/>
                <w:szCs w:val="14"/>
              </w:rPr>
              <w:t>’</w:t>
            </w:r>
            <w:r>
              <w:rPr>
                <w:rFonts w:ascii="Arial" w:hAnsi="Arial" w:cs="Arial"/>
                <w:sz w:val="14"/>
                <w:szCs w:val="14"/>
              </w:rPr>
              <w:t>indemnité de maintien en fonction</w:t>
            </w:r>
          </w:p>
          <w:p w:rsidR="006927D1" w:rsidRDefault="006927D1" w:rsidP="00592A8F">
            <w:pPr>
              <w:pStyle w:val="ListParagraph"/>
              <w:ind w:left="594" w:right="49" w:hanging="59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8.6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CB11BC"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Rapport du </w:t>
            </w:r>
            <w:r w:rsidR="004E1056">
              <w:rPr>
                <w:rFonts w:ascii="Arial" w:hAnsi="Arial" w:cs="Arial"/>
                <w:sz w:val="14"/>
                <w:szCs w:val="14"/>
              </w:rPr>
              <w:t xml:space="preserve">Directeur </w:t>
            </w:r>
            <w:r>
              <w:rPr>
                <w:rFonts w:ascii="Arial" w:hAnsi="Arial" w:cs="Arial"/>
                <w:sz w:val="14"/>
                <w:szCs w:val="14"/>
              </w:rPr>
              <w:t>sur les engagements de plus de six ans</w:t>
            </w:r>
          </w:p>
          <w:p w:rsidR="006927D1" w:rsidRDefault="006927D1" w:rsidP="007465D5">
            <w:pPr>
              <w:pStyle w:val="ListParagraph"/>
              <w:ind w:left="593" w:hanging="59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9.1.1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B11BC"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Élaboration d</w:t>
            </w:r>
            <w:r w:rsidR="00CB11BC">
              <w:rPr>
                <w:rFonts w:ascii="Arial" w:hAnsi="Arial" w:cs="Arial"/>
                <w:sz w:val="14"/>
                <w:szCs w:val="14"/>
              </w:rPr>
              <w:t>’</w:t>
            </w:r>
            <w:r>
              <w:rPr>
                <w:rFonts w:ascii="Arial" w:hAnsi="Arial" w:cs="Arial"/>
                <w:sz w:val="14"/>
                <w:szCs w:val="14"/>
              </w:rPr>
              <w:t>une proposition de programme régional océanien</w:t>
            </w:r>
            <w:r w:rsidR="00CB11B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sur les espèces envahissantes en vue de sa soumission à FEM-6</w:t>
            </w:r>
          </w:p>
          <w:p w:rsidR="006927D1" w:rsidRDefault="006927D1" w:rsidP="000D37D1">
            <w:pPr>
              <w:pStyle w:val="ListParagraph"/>
              <w:ind w:left="593" w:hanging="59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9.1.2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B11BC"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Stratégie océanienne de développement des capacités sur les espèces envahissantes</w:t>
            </w:r>
          </w:p>
          <w:p w:rsidR="006927D1" w:rsidRDefault="006927D1" w:rsidP="007465D5">
            <w:pPr>
              <w:pStyle w:val="ListParagraph"/>
              <w:ind w:left="593" w:hanging="590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9.1.3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CB11BC"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="00CB11BC">
              <w:rPr>
                <w:rFonts w:ascii="Arial" w:hAnsi="Arial" w:cs="Arial"/>
                <w:sz w:val="14"/>
                <w:szCs w:val="14"/>
              </w:rPr>
              <w:t>’</w:t>
            </w:r>
            <w:r>
              <w:rPr>
                <w:rFonts w:ascii="Arial" w:hAnsi="Arial" w:cs="Arial"/>
                <w:sz w:val="14"/>
                <w:szCs w:val="14"/>
              </w:rPr>
              <w:t>adaptation écosystémique en tant qu</w:t>
            </w:r>
            <w:r w:rsidR="00CB11BC">
              <w:rPr>
                <w:rFonts w:ascii="Arial" w:hAnsi="Arial" w:cs="Arial"/>
                <w:sz w:val="14"/>
                <w:szCs w:val="14"/>
              </w:rPr>
              <w:t>’</w:t>
            </w:r>
            <w:r>
              <w:rPr>
                <w:rFonts w:ascii="Arial" w:hAnsi="Arial" w:cs="Arial"/>
                <w:sz w:val="14"/>
                <w:szCs w:val="14"/>
              </w:rPr>
              <w:t>approche fondamentale liant la protection des services écosystémiques et l</w:t>
            </w:r>
            <w:r w:rsidR="00CB11BC">
              <w:rPr>
                <w:rFonts w:ascii="Arial" w:hAnsi="Arial" w:cs="Arial"/>
                <w:sz w:val="14"/>
                <w:szCs w:val="14"/>
              </w:rPr>
              <w:t>’</w:t>
            </w:r>
            <w:r>
              <w:rPr>
                <w:rFonts w:ascii="Arial" w:hAnsi="Arial" w:cs="Arial"/>
                <w:sz w:val="14"/>
                <w:szCs w:val="14"/>
              </w:rPr>
              <w:t>amélioration de la résilience, de l</w:t>
            </w:r>
            <w:r w:rsidR="00CB11BC">
              <w:rPr>
                <w:rFonts w:ascii="Arial" w:hAnsi="Arial" w:cs="Arial"/>
                <w:sz w:val="14"/>
                <w:szCs w:val="14"/>
              </w:rPr>
              <w:t>’</w:t>
            </w:r>
            <w:r>
              <w:rPr>
                <w:rFonts w:ascii="Arial" w:hAnsi="Arial" w:cs="Arial"/>
                <w:sz w:val="14"/>
                <w:szCs w:val="14"/>
              </w:rPr>
              <w:t>adaptation et de la durabilité</w:t>
            </w:r>
          </w:p>
          <w:p w:rsidR="009C2AD2" w:rsidRPr="009C2AD2" w:rsidRDefault="009C2AD2" w:rsidP="00CB11BC">
            <w:pPr>
              <w:pStyle w:val="ListParagraph"/>
              <w:ind w:left="593" w:hanging="590"/>
              <w:rPr>
                <w:rFonts w:ascii="Arial" w:hAnsi="Arial" w:cs="Arial"/>
                <w:b/>
                <w:color w:val="0000CC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color w:val="0000CC"/>
                <w:sz w:val="14"/>
                <w:szCs w:val="14"/>
              </w:rPr>
              <w:tab/>
            </w:r>
            <w:r>
              <w:rPr>
                <w:rFonts w:ascii="Arial" w:eastAsia="Arial Unicode MS" w:hAnsi="Arial" w:cs="Arial"/>
                <w:b/>
                <w:bCs/>
                <w:color w:val="0000CC"/>
                <w:sz w:val="14"/>
                <w:szCs w:val="14"/>
              </w:rPr>
              <w:t>(Compte rendu du Forum océanien sur l</w:t>
            </w:r>
            <w:r w:rsidR="00CB11BC">
              <w:rPr>
                <w:rFonts w:ascii="Arial" w:eastAsia="Arial Unicode MS" w:hAnsi="Arial" w:cs="Arial"/>
                <w:b/>
                <w:bCs/>
                <w:color w:val="0000CC"/>
                <w:sz w:val="14"/>
                <w:szCs w:val="14"/>
              </w:rPr>
              <w:t>’</w:t>
            </w:r>
            <w:r>
              <w:rPr>
                <w:rFonts w:ascii="Arial" w:eastAsia="Arial Unicode MS" w:hAnsi="Arial" w:cs="Arial"/>
                <w:b/>
                <w:bCs/>
                <w:color w:val="0000CC"/>
                <w:sz w:val="14"/>
                <w:szCs w:val="14"/>
              </w:rPr>
              <w:t>environnement)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27D1" w:rsidRPr="005A370C" w:rsidRDefault="006927D1" w:rsidP="00CB11BC">
            <w:pPr>
              <w:ind w:left="452" w:right="6" w:hanging="45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9.5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ab/>
              <w:t>Examen et adoption du projet de budget-programme pour 2014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6927D1" w:rsidRPr="006927D1" w:rsidRDefault="006927D1" w:rsidP="006927D1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iCs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bCs/>
                <w:sz w:val="36"/>
                <w:szCs w:val="36"/>
              </w:rPr>
              <w:t>SORTIE</w:t>
            </w:r>
          </w:p>
        </w:tc>
      </w:tr>
      <w:tr w:rsidR="006927D1" w:rsidTr="003D4BBD">
        <w:trPr>
          <w:cantSplit/>
          <w:trHeight w:val="223"/>
        </w:trPr>
        <w:tc>
          <w:tcPr>
            <w:tcW w:w="709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E6E6E6"/>
          </w:tcPr>
          <w:p w:rsidR="006927D1" w:rsidRPr="005244CB" w:rsidRDefault="006927D1" w:rsidP="005244CB">
            <w:pPr>
              <w:jc w:val="center"/>
              <w:rPr>
                <w:rFonts w:asciiTheme="minorHAnsi" w:hAnsiTheme="minorHAnsi" w:cs="Arial"/>
                <w:i/>
                <w:sz w:val="15"/>
                <w:szCs w:val="15"/>
              </w:rPr>
            </w:pPr>
            <w:r>
              <w:rPr>
                <w:rFonts w:asciiTheme="minorHAnsi" w:hAnsiTheme="minorHAnsi" w:cs="Arial"/>
                <w:sz w:val="15"/>
                <w:szCs w:val="15"/>
              </w:rPr>
              <w:t>10h00</w:t>
            </w: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927D1" w:rsidRPr="00F3384A" w:rsidRDefault="006927D1" w:rsidP="00B46A5A">
            <w:pPr>
              <w:spacing w:before="20" w:after="20"/>
              <w:jc w:val="center"/>
              <w:rPr>
                <w:rFonts w:ascii="Arial" w:hAnsi="Arial" w:cs="Arial"/>
                <w:b/>
                <w:bCs/>
                <w:iCs/>
                <w:sz w:val="15"/>
                <w:szCs w:val="15"/>
              </w:rPr>
            </w:pPr>
          </w:p>
        </w:tc>
        <w:tc>
          <w:tcPr>
            <w:tcW w:w="12048" w:type="dxa"/>
            <w:gridSpan w:val="3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927D1" w:rsidRPr="00BB5CD0" w:rsidRDefault="006927D1" w:rsidP="007B0E8B">
            <w:pPr>
              <w:spacing w:before="20" w:after="20"/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Pause café/thé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927D1" w:rsidRPr="00BB5CD0" w:rsidRDefault="006927D1" w:rsidP="002F3A75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</w:p>
        </w:tc>
      </w:tr>
      <w:tr w:rsidR="006927D1" w:rsidTr="003D4BBD">
        <w:trPr>
          <w:cantSplit/>
          <w:trHeight w:val="1230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927D1" w:rsidRPr="00BF2F52" w:rsidRDefault="006927D1" w:rsidP="005244CB">
            <w:pPr>
              <w:spacing w:after="40"/>
              <w:jc w:val="center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i/>
                <w:iCs/>
                <w:sz w:val="15"/>
                <w:szCs w:val="15"/>
              </w:rPr>
              <w:t>10h30</w:t>
            </w: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6927D1" w:rsidRPr="00F3384A" w:rsidRDefault="006927D1" w:rsidP="00153F49">
            <w:pPr>
              <w:ind w:left="245" w:right="4" w:hanging="245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6927D1" w:rsidRPr="005A370C" w:rsidRDefault="006927D1" w:rsidP="00CD068B">
            <w:pPr>
              <w:pStyle w:val="Header"/>
              <w:tabs>
                <w:tab w:val="clear" w:pos="4153"/>
                <w:tab w:val="clear" w:pos="8306"/>
                <w:tab w:val="left" w:pos="596"/>
              </w:tabs>
              <w:ind w:left="454" w:hanging="45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5.2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CB11BC"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Rapport de suivi et d</w:t>
            </w:r>
            <w:r w:rsidR="00CB11BC">
              <w:rPr>
                <w:rFonts w:ascii="Arial" w:hAnsi="Arial" w:cs="Arial"/>
                <w:sz w:val="14"/>
                <w:szCs w:val="14"/>
              </w:rPr>
              <w:t>’</w:t>
            </w:r>
            <w:r>
              <w:rPr>
                <w:rFonts w:ascii="Arial" w:hAnsi="Arial" w:cs="Arial"/>
                <w:sz w:val="14"/>
                <w:szCs w:val="14"/>
              </w:rPr>
              <w:t>évaluation des performances concernant le budget-programme pour l</w:t>
            </w:r>
            <w:r w:rsidR="00CB11BC">
              <w:rPr>
                <w:rFonts w:ascii="Arial" w:hAnsi="Arial" w:cs="Arial"/>
                <w:sz w:val="14"/>
                <w:szCs w:val="14"/>
              </w:rPr>
              <w:t>’</w:t>
            </w:r>
            <w:r>
              <w:rPr>
                <w:rFonts w:ascii="Arial" w:hAnsi="Arial" w:cs="Arial"/>
                <w:sz w:val="14"/>
                <w:szCs w:val="14"/>
              </w:rPr>
              <w:t>exercice 2012</w:t>
            </w:r>
          </w:p>
          <w:p w:rsidR="006927D1" w:rsidRPr="005A370C" w:rsidRDefault="006927D1" w:rsidP="00CD068B">
            <w:pPr>
              <w:tabs>
                <w:tab w:val="left" w:pos="594"/>
              </w:tabs>
              <w:ind w:left="454" w:hanging="45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5.3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CB11BC"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Comptes annuels vérifiés pour l</w:t>
            </w:r>
            <w:r w:rsidR="00CB11BC">
              <w:rPr>
                <w:rFonts w:ascii="Arial" w:hAnsi="Arial" w:cs="Arial"/>
                <w:sz w:val="14"/>
                <w:szCs w:val="14"/>
              </w:rPr>
              <w:t>’</w:t>
            </w:r>
            <w:r>
              <w:rPr>
                <w:rFonts w:ascii="Arial" w:hAnsi="Arial" w:cs="Arial"/>
                <w:sz w:val="14"/>
                <w:szCs w:val="14"/>
              </w:rPr>
              <w:t>exercice 2012</w:t>
            </w:r>
          </w:p>
          <w:p w:rsidR="006927D1" w:rsidRPr="005A370C" w:rsidRDefault="006927D1" w:rsidP="00851910">
            <w:pPr>
              <w:tabs>
                <w:tab w:val="left" w:pos="594"/>
              </w:tabs>
              <w:ind w:left="340" w:right="4" w:hanging="3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27D1" w:rsidRDefault="006927D1" w:rsidP="00664C39">
            <w:pPr>
              <w:pStyle w:val="ListParagraph"/>
              <w:ind w:left="593" w:hanging="590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9.1.4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CB11BC"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Utilisation du cadre Paysage océanique pour focaliser les efforts régionaux et nationaux de gestion des ressources marines et terrestres</w:t>
            </w:r>
          </w:p>
          <w:p w:rsidR="006927D1" w:rsidRPr="005A370C" w:rsidRDefault="006927D1" w:rsidP="007465D5">
            <w:pPr>
              <w:pStyle w:val="ListParagraph"/>
              <w:ind w:left="594" w:hanging="59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9.2.1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B11BC"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Table ronde des îles océaniennes sur le changement climatique (PCCR) de 2013</w:t>
            </w:r>
          </w:p>
          <w:p w:rsidR="006927D1" w:rsidRDefault="006927D1" w:rsidP="000D37D1">
            <w:pPr>
              <w:pStyle w:val="ListParagraph"/>
              <w:ind w:left="593" w:hanging="593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9.2.2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CB11BC"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Rapport de la deuxième réunion du Conseil météorologique océanien</w:t>
            </w:r>
          </w:p>
          <w:p w:rsidR="006927D1" w:rsidRPr="005A370C" w:rsidRDefault="006927D1" w:rsidP="000D37D1">
            <w:pPr>
              <w:pStyle w:val="ListParagraph"/>
              <w:ind w:left="593" w:hanging="593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9.2.3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B11BC"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Réunion conjointe de la Table ronde des îles océaniennes sur le changement climatique et de la Plateforme océanienne pour la gestion des risques de catastrophe (2013)</w:t>
            </w:r>
          </w:p>
          <w:p w:rsidR="006927D1" w:rsidRPr="000D37D1" w:rsidRDefault="006927D1" w:rsidP="000D37D1">
            <w:pPr>
              <w:pStyle w:val="ListParagraph"/>
              <w:ind w:left="739" w:hanging="73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27D1" w:rsidRDefault="006927D1" w:rsidP="00CB11BC">
            <w:pPr>
              <w:ind w:left="451" w:right="6" w:hanging="451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10.1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B11BC"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Conclusions de la 16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 xml:space="preserve"> Conférence des Parties à la Convention sur le commerce international des espèces de faune et de flore sauvages menacées d</w:t>
            </w:r>
            <w:r w:rsidR="00CB11BC">
              <w:rPr>
                <w:rFonts w:ascii="Arial" w:hAnsi="Arial" w:cs="Arial"/>
                <w:sz w:val="14"/>
                <w:szCs w:val="14"/>
              </w:rPr>
              <w:t>’</w:t>
            </w:r>
            <w:r>
              <w:rPr>
                <w:rFonts w:ascii="Arial" w:hAnsi="Arial" w:cs="Arial"/>
                <w:sz w:val="14"/>
                <w:szCs w:val="14"/>
              </w:rPr>
              <w:t>extinction intéressant les Membres du PROE (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Australie et Nouvelle-Zélande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6927D1" w:rsidRDefault="006927D1" w:rsidP="00CB11BC">
            <w:pPr>
              <w:pStyle w:val="Header"/>
              <w:tabs>
                <w:tab w:val="clear" w:pos="4153"/>
                <w:tab w:val="clear" w:pos="8306"/>
              </w:tabs>
              <w:ind w:left="451" w:right="4" w:hanging="451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10.2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La biodiversité au-delà des frontières nationales (document présenté par l</w:t>
            </w:r>
            <w:r w:rsidR="00CB11BC">
              <w:rPr>
                <w:rFonts w:ascii="Arial" w:hAnsi="Arial" w:cs="Arial"/>
                <w:sz w:val="14"/>
                <w:szCs w:val="14"/>
              </w:rPr>
              <w:t>’</w:t>
            </w:r>
            <w:r>
              <w:rPr>
                <w:rFonts w:ascii="Arial" w:hAnsi="Arial" w:cs="Arial"/>
                <w:sz w:val="14"/>
                <w:szCs w:val="14"/>
              </w:rPr>
              <w:t>Australie)</w:t>
            </w:r>
          </w:p>
          <w:p w:rsidR="006927D1" w:rsidRPr="005A370C" w:rsidRDefault="006927D1" w:rsidP="007465D5">
            <w:pPr>
              <w:pStyle w:val="Header"/>
              <w:tabs>
                <w:tab w:val="clear" w:pos="4153"/>
                <w:tab w:val="clear" w:pos="8306"/>
              </w:tabs>
              <w:ind w:left="452" w:right="4" w:hanging="452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11.1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ab/>
              <w:t>Compte rendu de la réunion des directeurs des organisations membres du CORP</w:t>
            </w:r>
          </w:p>
          <w:p w:rsidR="006927D1" w:rsidRPr="005A370C" w:rsidRDefault="006927D1" w:rsidP="007465D5">
            <w:pPr>
              <w:pStyle w:val="Header"/>
              <w:tabs>
                <w:tab w:val="clear" w:pos="4153"/>
                <w:tab w:val="clear" w:pos="8306"/>
              </w:tabs>
              <w:ind w:left="452" w:right="4" w:hanging="45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ab/>
              <w:t>Déclarations des observateurs</w:t>
            </w:r>
          </w:p>
          <w:p w:rsidR="006927D1" w:rsidRDefault="006927D1" w:rsidP="007465D5">
            <w:pPr>
              <w:ind w:left="452" w:right="4" w:hanging="45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ab/>
              <w:t>Questions diverses</w:t>
            </w:r>
          </w:p>
          <w:p w:rsidR="00E275C4" w:rsidRPr="007465D5" w:rsidRDefault="00E275C4" w:rsidP="004E1056">
            <w:pPr>
              <w:ind w:left="452" w:right="4" w:hanging="452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ab/>
              <w:t>Date et lieu de la</w:t>
            </w:r>
            <w:r w:rsidR="004E1056">
              <w:rPr>
                <w:rFonts w:ascii="Arial" w:hAnsi="Arial" w:cs="Arial"/>
                <w:sz w:val="14"/>
                <w:szCs w:val="14"/>
              </w:rPr>
              <w:t xml:space="preserve"> 25</w:t>
            </w:r>
            <w:r w:rsidR="004E1056" w:rsidRPr="004E1056">
              <w:rPr>
                <w:rFonts w:ascii="Arial" w:hAnsi="Arial" w:cs="Arial"/>
                <w:sz w:val="14"/>
                <w:szCs w:val="14"/>
                <w:vertAlign w:val="superscript"/>
              </w:rPr>
              <w:t>e</w:t>
            </w:r>
            <w:r w:rsidR="004E105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Conférence du PROE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27D1" w:rsidRPr="00F774B1" w:rsidRDefault="006927D1" w:rsidP="002F3A75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927D1" w:rsidTr="003D4BBD">
        <w:trPr>
          <w:cantSplit/>
          <w:trHeight w:val="159"/>
        </w:trPr>
        <w:tc>
          <w:tcPr>
            <w:tcW w:w="709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E6E6E6"/>
          </w:tcPr>
          <w:p w:rsidR="006927D1" w:rsidRPr="005244CB" w:rsidRDefault="006927D1" w:rsidP="005244CB">
            <w:pPr>
              <w:ind w:left="-29"/>
              <w:jc w:val="center"/>
              <w:rPr>
                <w:rFonts w:asciiTheme="minorHAnsi" w:hAnsiTheme="minorHAnsi" w:cs="Arial"/>
                <w:i/>
                <w:sz w:val="15"/>
                <w:szCs w:val="15"/>
              </w:rPr>
            </w:pPr>
            <w:r>
              <w:rPr>
                <w:rFonts w:asciiTheme="minorHAnsi" w:hAnsiTheme="minorHAnsi" w:cs="Arial"/>
                <w:sz w:val="15"/>
                <w:szCs w:val="15"/>
              </w:rPr>
              <w:t>12h00</w:t>
            </w: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927D1" w:rsidRPr="00F3384A" w:rsidRDefault="006927D1" w:rsidP="00B46A5A">
            <w:pPr>
              <w:pStyle w:val="Heading1"/>
              <w:spacing w:before="20" w:after="2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048" w:type="dxa"/>
            <w:gridSpan w:val="3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927D1" w:rsidRPr="00BB5CD0" w:rsidRDefault="006927D1" w:rsidP="00AB2E1E">
            <w:pPr>
              <w:pStyle w:val="Heading1"/>
              <w:spacing w:before="20" w:after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Déjeuner – Manifestations parallèles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927D1" w:rsidRPr="00F3384A" w:rsidRDefault="006927D1" w:rsidP="002F3A75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6927D1" w:rsidTr="003D4BBD">
        <w:trPr>
          <w:cantSplit/>
          <w:trHeight w:val="899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927D1" w:rsidRPr="00BF2F52" w:rsidRDefault="006927D1" w:rsidP="005244CB">
            <w:pPr>
              <w:spacing w:after="40"/>
              <w:ind w:left="-29"/>
              <w:jc w:val="center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i/>
                <w:iCs/>
                <w:sz w:val="15"/>
                <w:szCs w:val="15"/>
              </w:rPr>
              <w:t>13h30</w:t>
            </w: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6927D1" w:rsidRPr="00F3384A" w:rsidRDefault="006927D1" w:rsidP="00755010">
            <w:pPr>
              <w:ind w:left="245" w:hanging="27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6927D1" w:rsidRPr="005A370C" w:rsidRDefault="006927D1" w:rsidP="000D37D1">
            <w:pPr>
              <w:ind w:left="454" w:hanging="454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6.1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CB11BC"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Renforcement des liens régionaux</w:t>
            </w:r>
          </w:p>
          <w:p w:rsidR="006927D1" w:rsidRPr="005A370C" w:rsidRDefault="006927D1" w:rsidP="000D37D1">
            <w:pPr>
              <w:ind w:left="454" w:hanging="45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6.2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B11BC"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Accès aux financements multilatéraux – Accréditation auprès du FEM et du Fonds pour l</w:t>
            </w:r>
            <w:r w:rsidR="00CB11BC">
              <w:rPr>
                <w:rFonts w:ascii="Arial" w:hAnsi="Arial" w:cs="Arial"/>
                <w:sz w:val="14"/>
                <w:szCs w:val="14"/>
              </w:rPr>
              <w:t>’</w:t>
            </w:r>
            <w:r>
              <w:rPr>
                <w:rFonts w:ascii="Arial" w:hAnsi="Arial" w:cs="Arial"/>
                <w:sz w:val="14"/>
                <w:szCs w:val="14"/>
              </w:rPr>
              <w:t>adaptation</w:t>
            </w:r>
          </w:p>
          <w:p w:rsidR="006927D1" w:rsidRPr="005A370C" w:rsidRDefault="006927D1" w:rsidP="000D37D1">
            <w:pPr>
              <w:ind w:left="454" w:hanging="45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6.3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B11BC"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Questions relatives au FEM (FEM-6, Programme « De la montagne à la mer »)</w:t>
            </w:r>
          </w:p>
          <w:p w:rsidR="006927D1" w:rsidRPr="005A370C" w:rsidRDefault="006927D1" w:rsidP="009C2AD2">
            <w:pPr>
              <w:ind w:left="454" w:right="-86" w:hanging="45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6.4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CB11BC"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Examen du Plan stratégique du PROE et de l</w:t>
            </w:r>
            <w:r w:rsidR="00CB11BC">
              <w:rPr>
                <w:rFonts w:ascii="Arial" w:hAnsi="Arial" w:cs="Arial"/>
                <w:sz w:val="14"/>
                <w:szCs w:val="14"/>
              </w:rPr>
              <w:t>’</w:t>
            </w:r>
            <w:r>
              <w:rPr>
                <w:rFonts w:ascii="Arial" w:hAnsi="Arial" w:cs="Arial"/>
                <w:sz w:val="14"/>
                <w:szCs w:val="14"/>
              </w:rPr>
              <w:t>Évaluation indépendante de l</w:t>
            </w:r>
            <w:r w:rsidR="00CB11BC">
              <w:rPr>
                <w:rFonts w:ascii="Arial" w:hAnsi="Arial" w:cs="Arial"/>
                <w:sz w:val="14"/>
                <w:szCs w:val="14"/>
              </w:rPr>
              <w:t>’</w:t>
            </w:r>
            <w:r>
              <w:rPr>
                <w:rFonts w:ascii="Arial" w:hAnsi="Arial" w:cs="Arial"/>
                <w:sz w:val="14"/>
                <w:szCs w:val="14"/>
              </w:rPr>
              <w:t>Organisation</w:t>
            </w:r>
          </w:p>
          <w:p w:rsidR="006927D1" w:rsidRDefault="006927D1" w:rsidP="000D37D1">
            <w:pPr>
              <w:ind w:left="454" w:hanging="45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6.5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CB11BC"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Rapport du Comité d</w:t>
            </w:r>
            <w:r w:rsidR="00CB11BC">
              <w:rPr>
                <w:rFonts w:ascii="Arial" w:hAnsi="Arial" w:cs="Arial"/>
                <w:sz w:val="14"/>
                <w:szCs w:val="14"/>
              </w:rPr>
              <w:t>’</w:t>
            </w:r>
            <w:r>
              <w:rPr>
                <w:rFonts w:ascii="Arial" w:hAnsi="Arial" w:cs="Arial"/>
                <w:sz w:val="14"/>
                <w:szCs w:val="14"/>
              </w:rPr>
              <w:t>audit</w:t>
            </w:r>
          </w:p>
          <w:p w:rsidR="006927D1" w:rsidRPr="005A370C" w:rsidRDefault="006927D1" w:rsidP="000D37D1">
            <w:pPr>
              <w:ind w:left="454" w:hanging="454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6.6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CB11BC"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Conférence des PÉID de 2014</w:t>
            </w:r>
          </w:p>
          <w:p w:rsidR="006927D1" w:rsidRPr="005A370C" w:rsidRDefault="006927D1" w:rsidP="00CB11BC">
            <w:pPr>
              <w:ind w:left="454" w:hanging="45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6.7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B11BC"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Proposition de Centre océanien sur le changement climatique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27D1" w:rsidRDefault="006927D1" w:rsidP="00664C39">
            <w:pPr>
              <w:tabs>
                <w:tab w:val="left" w:pos="570"/>
              </w:tabs>
              <w:ind w:left="593" w:right="4" w:hanging="593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9.2.4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Examen des Plans d</w:t>
            </w:r>
            <w:r w:rsidR="00CB11BC">
              <w:rPr>
                <w:rFonts w:ascii="Arial" w:hAnsi="Arial" w:cs="Arial"/>
                <w:sz w:val="14"/>
                <w:szCs w:val="14"/>
              </w:rPr>
              <w:t>’</w:t>
            </w:r>
            <w:r>
              <w:rPr>
                <w:rFonts w:ascii="Arial" w:hAnsi="Arial" w:cs="Arial"/>
                <w:sz w:val="14"/>
                <w:szCs w:val="14"/>
              </w:rPr>
              <w:t>action nationaux conjoints (JNAP)</w:t>
            </w:r>
          </w:p>
          <w:p w:rsidR="006927D1" w:rsidRDefault="006927D1" w:rsidP="00664C39">
            <w:pPr>
              <w:tabs>
                <w:tab w:val="left" w:pos="570"/>
              </w:tabs>
              <w:ind w:left="593" w:right="4" w:hanging="59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9.2.5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CB11BC"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Renforcement du PACC et du PIGGAREP</w:t>
            </w:r>
          </w:p>
          <w:p w:rsidR="006927D1" w:rsidRPr="005A370C" w:rsidRDefault="006927D1" w:rsidP="00CB11BC">
            <w:pPr>
              <w:tabs>
                <w:tab w:val="left" w:pos="585"/>
              </w:tabs>
              <w:ind w:left="585" w:right="4" w:hanging="5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9.2.6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B11BC"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Préparation de la 19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 xml:space="preserve"> Conférence des Parties à la CCNUCC par les pays océaniens</w:t>
            </w:r>
          </w:p>
          <w:p w:rsidR="006927D1" w:rsidRDefault="006927D1" w:rsidP="007465D5">
            <w:pPr>
              <w:ind w:left="594" w:right="4" w:hanging="594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9.2.7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B11BC"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Point sur les nouveaux projets portant sur le changement climatique (FINPACC et PPCR)</w:t>
            </w:r>
          </w:p>
          <w:p w:rsidR="006927D1" w:rsidRPr="005A370C" w:rsidRDefault="006927D1" w:rsidP="00CB11BC">
            <w:pPr>
              <w:ind w:left="593" w:right="4" w:hanging="593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9.3.1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B11BC"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Points saillants de la campagne Pacifique propre 2012</w:t>
            </w:r>
          </w:p>
          <w:p w:rsidR="006927D1" w:rsidRPr="000D37D1" w:rsidRDefault="006927D1" w:rsidP="00CB11BC">
            <w:pPr>
              <w:ind w:left="593" w:hanging="59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9.3.2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B11BC"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Coordination des donateurs concernant la gestion des déchets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7D1" w:rsidRPr="007465D5" w:rsidRDefault="006927D1" w:rsidP="007465D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LIBRE</w:t>
            </w:r>
          </w:p>
          <w:p w:rsidR="006927D1" w:rsidRPr="0056746D" w:rsidRDefault="006927D1" w:rsidP="007465D5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6927D1" w:rsidRPr="007465D5" w:rsidRDefault="006927D1" w:rsidP="007465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Préparation du rapport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27D1" w:rsidRPr="001A5230" w:rsidRDefault="006927D1" w:rsidP="002F3A75">
            <w:pPr>
              <w:jc w:val="center"/>
              <w:rPr>
                <w:rFonts w:ascii="Candara" w:hAnsi="Candara" w:cs="Arial"/>
                <w:b/>
                <w:bCs/>
                <w:i/>
              </w:rPr>
            </w:pPr>
          </w:p>
        </w:tc>
      </w:tr>
      <w:tr w:rsidR="006927D1" w:rsidTr="003D4BBD">
        <w:trPr>
          <w:cantSplit/>
          <w:trHeight w:val="183"/>
        </w:trPr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  <w:shd w:val="clear" w:color="auto" w:fill="E6E6E6"/>
          </w:tcPr>
          <w:p w:rsidR="006927D1" w:rsidRPr="005244CB" w:rsidRDefault="006927D1" w:rsidP="00126352">
            <w:pPr>
              <w:jc w:val="center"/>
              <w:rPr>
                <w:rFonts w:asciiTheme="minorHAnsi" w:hAnsiTheme="minorHAnsi" w:cs="Arial"/>
                <w:i/>
                <w:iCs/>
                <w:sz w:val="15"/>
                <w:szCs w:val="15"/>
              </w:rPr>
            </w:pPr>
            <w:r>
              <w:rPr>
                <w:rFonts w:asciiTheme="minorHAnsi" w:hAnsiTheme="minorHAnsi" w:cs="Arial"/>
                <w:sz w:val="15"/>
                <w:szCs w:val="15"/>
              </w:rPr>
              <w:t>15h00</w:t>
            </w: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F3F3F3"/>
          </w:tcPr>
          <w:p w:rsidR="006927D1" w:rsidRPr="00F3384A" w:rsidRDefault="006927D1" w:rsidP="00B46A5A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048" w:type="dxa"/>
            <w:gridSpan w:val="3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6927D1" w:rsidRPr="00BB5CD0" w:rsidRDefault="006927D1" w:rsidP="007B0E8B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Pause café/thé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6927D1" w:rsidRPr="00F3384A" w:rsidRDefault="006927D1" w:rsidP="002F3A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6927D1" w:rsidTr="003D4BBD">
        <w:trPr>
          <w:cantSplit/>
          <w:trHeight w:val="926"/>
        </w:trPr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6927D1" w:rsidRPr="005244CB" w:rsidRDefault="006927D1" w:rsidP="005244CB">
            <w:pPr>
              <w:jc w:val="center"/>
              <w:rPr>
                <w:rFonts w:asciiTheme="minorHAnsi" w:hAnsiTheme="minorHAnsi" w:cs="Arial"/>
                <w:i/>
                <w:iCs/>
                <w:sz w:val="15"/>
                <w:szCs w:val="15"/>
              </w:rPr>
            </w:pPr>
            <w:r>
              <w:rPr>
                <w:rFonts w:asciiTheme="minorHAnsi" w:hAnsiTheme="minorHAnsi" w:cs="Arial"/>
                <w:i/>
                <w:iCs/>
                <w:sz w:val="15"/>
                <w:szCs w:val="15"/>
              </w:rPr>
              <w:t>15h30</w:t>
            </w:r>
          </w:p>
          <w:p w:rsidR="006927D1" w:rsidRPr="005244CB" w:rsidRDefault="006927D1" w:rsidP="00126352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5"/>
                <w:szCs w:val="15"/>
              </w:rPr>
            </w:pPr>
          </w:p>
          <w:p w:rsidR="006927D1" w:rsidRPr="005244CB" w:rsidRDefault="006927D1" w:rsidP="00126352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5"/>
                <w:szCs w:val="15"/>
              </w:rPr>
            </w:pPr>
          </w:p>
          <w:p w:rsidR="006927D1" w:rsidRPr="00BF2F52" w:rsidRDefault="006927D1" w:rsidP="007B0E8B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27D1" w:rsidRPr="00332673" w:rsidRDefault="006927D1" w:rsidP="00332673">
            <w:pPr>
              <w:ind w:left="-15" w:hanging="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927D1" w:rsidRPr="005A370C" w:rsidRDefault="006927D1" w:rsidP="00CB11BC">
            <w:pPr>
              <w:ind w:left="452" w:hanging="425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7.1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B11BC"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Rapport sur les contributions des Membres</w:t>
            </w:r>
          </w:p>
          <w:p w:rsidR="006927D1" w:rsidRPr="005A370C" w:rsidRDefault="006927D1" w:rsidP="00CB11BC">
            <w:pPr>
              <w:ind w:left="452" w:hanging="425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7.2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B11BC"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Augmentation des contributions des Membres</w:t>
            </w:r>
          </w:p>
          <w:p w:rsidR="006927D1" w:rsidRDefault="006927D1" w:rsidP="00CB11BC">
            <w:pPr>
              <w:pStyle w:val="ListParagraph"/>
              <w:ind w:left="452" w:right="49" w:hanging="425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7.3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B11BC"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Financement pluriannuel</w:t>
            </w:r>
          </w:p>
          <w:p w:rsidR="006927D1" w:rsidRPr="005A370C" w:rsidRDefault="006927D1" w:rsidP="00CB11BC">
            <w:pPr>
              <w:pStyle w:val="ListParagraph"/>
              <w:ind w:left="452" w:right="49" w:hanging="42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8.1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CB11BC"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Données annuelles sur le marché</w:t>
            </w:r>
          </w:p>
          <w:p w:rsidR="006927D1" w:rsidRPr="005A370C" w:rsidRDefault="006927D1" w:rsidP="00CB11BC">
            <w:pPr>
              <w:pStyle w:val="ListParagraph"/>
              <w:ind w:left="452" w:right="49" w:hanging="42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8.2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CB11BC"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Évaluation des résultats du Directeur général du PROE</w:t>
            </w:r>
          </w:p>
          <w:p w:rsidR="006927D1" w:rsidRPr="005A370C" w:rsidRDefault="006927D1" w:rsidP="00CB11BC">
            <w:pPr>
              <w:pStyle w:val="ListParagraph"/>
              <w:ind w:left="452" w:right="49" w:hanging="42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8.3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B11BC"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Contrat du Directeur général</w:t>
            </w:r>
          </w:p>
          <w:p w:rsidR="006927D1" w:rsidRPr="00D40ABF" w:rsidRDefault="006927D1" w:rsidP="00CB11BC">
            <w:pPr>
              <w:pStyle w:val="ListParagraph"/>
              <w:ind w:left="452" w:right="49" w:hanging="42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8.4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B11BC"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Contrat du Directeur général adjoint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D1" w:rsidRDefault="006927D1" w:rsidP="003D309C">
            <w:pPr>
              <w:ind w:left="510" w:right="4" w:hanging="5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9.3.3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B11BC"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Point sur le financement de la gestion des déchets dans le cadre de GEF-PAS et du 10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 xml:space="preserve"> FED</w:t>
            </w:r>
          </w:p>
          <w:p w:rsidR="006927D1" w:rsidRPr="005A370C" w:rsidRDefault="006927D1" w:rsidP="003D309C">
            <w:pPr>
              <w:ind w:left="510" w:right="4" w:hanging="5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9.3.4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B11BC"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Révision du PACPLAN 2013</w:t>
            </w:r>
          </w:p>
          <w:p w:rsidR="006927D1" w:rsidRPr="005A370C" w:rsidRDefault="006927D1" w:rsidP="003D309C">
            <w:pPr>
              <w:ind w:left="510" w:right="4" w:hanging="5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9.4.1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B11BC"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Projet ACP sur les AME</w:t>
            </w:r>
          </w:p>
          <w:p w:rsidR="006927D1" w:rsidRDefault="006927D1" w:rsidP="003D309C">
            <w:pPr>
              <w:ind w:left="510" w:right="4" w:hanging="5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9.4.2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CB11BC"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Rapports sur l</w:t>
            </w:r>
            <w:r w:rsidR="00CB11BC">
              <w:rPr>
                <w:rFonts w:ascii="Arial" w:hAnsi="Arial" w:cs="Arial"/>
                <w:sz w:val="14"/>
                <w:szCs w:val="14"/>
              </w:rPr>
              <w:t>’</w:t>
            </w:r>
            <w:r>
              <w:rPr>
                <w:rFonts w:ascii="Arial" w:hAnsi="Arial" w:cs="Arial"/>
                <w:sz w:val="14"/>
                <w:szCs w:val="14"/>
              </w:rPr>
              <w:t>état de l</w:t>
            </w:r>
            <w:r w:rsidR="00CB11BC">
              <w:rPr>
                <w:rFonts w:ascii="Arial" w:hAnsi="Arial" w:cs="Arial"/>
                <w:sz w:val="14"/>
                <w:szCs w:val="14"/>
              </w:rPr>
              <w:t>’</w:t>
            </w:r>
            <w:r>
              <w:rPr>
                <w:rFonts w:ascii="Arial" w:hAnsi="Arial" w:cs="Arial"/>
                <w:sz w:val="14"/>
                <w:szCs w:val="14"/>
              </w:rPr>
              <w:t>environnement</w:t>
            </w:r>
          </w:p>
          <w:p w:rsidR="006927D1" w:rsidRDefault="006927D1" w:rsidP="003D309C">
            <w:pPr>
              <w:ind w:left="510" w:right="4" w:hanging="5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9.4.3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CB11BC"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Stratégies nationales de gestion de l’environnement et études d’impact sur l’environnement</w:t>
            </w:r>
          </w:p>
          <w:p w:rsidR="006927D1" w:rsidRPr="007465D5" w:rsidRDefault="006927D1" w:rsidP="00CB11BC">
            <w:pPr>
              <w:ind w:left="510" w:right="4" w:hanging="5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9.4.4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ab/>
              <w:t>Analyses coûts-avantages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D1" w:rsidRPr="005A370C" w:rsidRDefault="00E275C4" w:rsidP="00CB11BC">
            <w:pPr>
              <w:ind w:left="451" w:hanging="451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B11BC"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Adoption du rapport de la </w:t>
            </w:r>
            <w:r w:rsidR="004E1056">
              <w:rPr>
                <w:rFonts w:ascii="Arial" w:hAnsi="Arial" w:cs="Arial"/>
                <w:sz w:val="14"/>
                <w:szCs w:val="14"/>
              </w:rPr>
              <w:t>24</w:t>
            </w:r>
            <w:r w:rsidR="004E1056" w:rsidRPr="004E1056">
              <w:rPr>
                <w:rFonts w:ascii="Arial" w:hAnsi="Arial" w:cs="Arial"/>
                <w:sz w:val="14"/>
                <w:szCs w:val="14"/>
                <w:vertAlign w:val="superscript"/>
              </w:rPr>
              <w:t>e</w:t>
            </w:r>
            <w:r w:rsidR="004E105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Conférence du PROE</w:t>
            </w:r>
          </w:p>
          <w:p w:rsidR="006927D1" w:rsidRPr="005A370C" w:rsidRDefault="006927D1" w:rsidP="00CB11BC">
            <w:pPr>
              <w:pStyle w:val="Header"/>
              <w:tabs>
                <w:tab w:val="clear" w:pos="4153"/>
                <w:tab w:val="clear" w:pos="8306"/>
              </w:tabs>
              <w:ind w:left="451" w:right="4" w:hanging="451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16</w:t>
            </w:r>
            <w:r w:rsidR="00CB11B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B11BC"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Clôture</w:t>
            </w:r>
          </w:p>
          <w:p w:rsidR="006927D1" w:rsidRPr="005A370C" w:rsidRDefault="006927D1" w:rsidP="00806AE0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927D1" w:rsidRPr="00F3384A" w:rsidRDefault="006927D1" w:rsidP="002F3A7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6927D1" w:rsidTr="003D4BBD">
        <w:trPr>
          <w:cantSplit/>
          <w:trHeight w:val="232"/>
        </w:trPr>
        <w:tc>
          <w:tcPr>
            <w:tcW w:w="709" w:type="dxa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6927D1" w:rsidRPr="005244CB" w:rsidRDefault="006927D1" w:rsidP="002417ED">
            <w:pPr>
              <w:spacing w:before="40" w:after="40"/>
              <w:ind w:left="-115" w:right="-86"/>
              <w:jc w:val="center"/>
              <w:rPr>
                <w:rFonts w:asciiTheme="minorHAnsi" w:hAnsiTheme="minorHAnsi" w:cs="Arial"/>
                <w:iCs/>
                <w:sz w:val="15"/>
                <w:szCs w:val="15"/>
              </w:rPr>
            </w:pPr>
            <w:r>
              <w:rPr>
                <w:rFonts w:asciiTheme="minorHAnsi" w:hAnsiTheme="minorHAnsi" w:cs="Arial"/>
                <w:sz w:val="15"/>
                <w:szCs w:val="15"/>
              </w:rPr>
              <w:t>17h00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927D1" w:rsidRPr="00BF2F52" w:rsidRDefault="006927D1" w:rsidP="00873BDE">
            <w:pPr>
              <w:ind w:left="-15" w:right="-86" w:hanging="10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927D1" w:rsidRPr="00F3384A" w:rsidRDefault="006927D1" w:rsidP="007B0E8B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Levée de la séance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927D1" w:rsidRPr="00F3384A" w:rsidRDefault="006927D1" w:rsidP="00806AE0">
            <w:pPr>
              <w:pStyle w:val="Header"/>
              <w:ind w:right="4"/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927D1" w:rsidRPr="00F3384A" w:rsidRDefault="006927D1" w:rsidP="002F3A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6927D1" w:rsidTr="003D4BBD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27D1" w:rsidRPr="005244CB" w:rsidRDefault="006927D1" w:rsidP="00873BDE">
            <w:pPr>
              <w:spacing w:before="40" w:after="40"/>
              <w:ind w:left="-115" w:right="-86"/>
              <w:jc w:val="center"/>
              <w:rPr>
                <w:rFonts w:asciiTheme="minorHAnsi" w:hAnsiTheme="minorHAnsi" w:cs="Arial"/>
                <w:sz w:val="15"/>
                <w:szCs w:val="15"/>
              </w:rPr>
            </w:pPr>
            <w:r>
              <w:rPr>
                <w:rFonts w:asciiTheme="minorHAnsi" w:hAnsiTheme="minorHAnsi" w:cs="Arial"/>
                <w:sz w:val="15"/>
                <w:szCs w:val="15"/>
              </w:rPr>
              <w:t>18h00</w:t>
            </w:r>
          </w:p>
        </w:tc>
        <w:tc>
          <w:tcPr>
            <w:tcW w:w="1702" w:type="dxa"/>
            <w:tcBorders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pct60" w:color="DDDDDD" w:fill="F3F3F3"/>
            <w:vAlign w:val="center"/>
          </w:tcPr>
          <w:p w:rsidR="006927D1" w:rsidRPr="00EB0441" w:rsidRDefault="006927D1" w:rsidP="00CB11BC">
            <w:pPr>
              <w:ind w:left="-15" w:right="-86" w:hanging="10"/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15"/>
                <w:szCs w:val="15"/>
              </w:rPr>
              <w:t>Cérémonie d</w:t>
            </w:r>
            <w:r w:rsidR="00CB11BC">
              <w:rPr>
                <w:rFonts w:asciiTheme="minorHAnsi" w:hAnsiTheme="minorHAnsi" w:cs="Arial"/>
                <w:b/>
                <w:bCs/>
                <w:i/>
                <w:iCs/>
                <w:sz w:val="15"/>
                <w:szCs w:val="15"/>
              </w:rPr>
              <w:t>’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5"/>
                <w:szCs w:val="15"/>
              </w:rPr>
              <w:t>ouverture de la Conférence d</w:t>
            </w:r>
            <w:r w:rsidR="00CB11BC">
              <w:rPr>
                <w:rFonts w:asciiTheme="minorHAnsi" w:hAnsiTheme="minorHAnsi" w:cs="Arial"/>
                <w:b/>
                <w:bCs/>
                <w:i/>
                <w:iCs/>
                <w:sz w:val="15"/>
                <w:szCs w:val="15"/>
              </w:rPr>
              <w:t>u PROE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5"/>
                <w:szCs w:val="15"/>
              </w:rPr>
              <w:t>, suivie d</w:t>
            </w:r>
            <w:r w:rsidR="00CB11BC">
              <w:rPr>
                <w:rFonts w:asciiTheme="minorHAnsi" w:hAnsiTheme="minorHAnsi" w:cs="Arial"/>
                <w:b/>
                <w:bCs/>
                <w:i/>
                <w:iCs/>
                <w:sz w:val="15"/>
                <w:szCs w:val="15"/>
              </w:rPr>
              <w:t>’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5"/>
                <w:szCs w:val="15"/>
              </w:rPr>
              <w:t>un cocktail offert par le PROE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pct60" w:color="DDDDDD" w:fill="F3F3F3"/>
            <w:vAlign w:val="center"/>
          </w:tcPr>
          <w:p w:rsidR="006927D1" w:rsidRDefault="006927D1" w:rsidP="008D08E6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15"/>
                <w:szCs w:val="15"/>
              </w:rPr>
              <w:t>Troisième réunion du Comité directeur de la JICA</w:t>
            </w:r>
          </w:p>
          <w:p w:rsidR="006927D1" w:rsidRPr="00BF2F52" w:rsidRDefault="006927D1" w:rsidP="00CB11BC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15"/>
                <w:szCs w:val="15"/>
              </w:rPr>
              <w:t>(PRISM)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60" w:color="DDDDDD" w:fill="F3F3F3"/>
            <w:vAlign w:val="center"/>
          </w:tcPr>
          <w:p w:rsidR="006927D1" w:rsidRPr="00706E32" w:rsidRDefault="007312BB" w:rsidP="00901BC8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17h30 – Première réunion du Comité directeur du programme PacWaste du 10</w:t>
            </w:r>
            <w:r>
              <w:rPr>
                <w:rFonts w:asciiTheme="minorHAnsi" w:hAnsiTheme="minorHAnsi" w:cstheme="minorHAnsi"/>
                <w:sz w:val="15"/>
                <w:szCs w:val="15"/>
                <w:vertAlign w:val="superscript"/>
              </w:rPr>
              <w:t>e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 FED</w:t>
            </w:r>
          </w:p>
          <w:p w:rsidR="00706E32" w:rsidRPr="00706E32" w:rsidRDefault="00706E32" w:rsidP="00901BC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>19h30 – Cocktail offert par le gouvernement australien</w:t>
            </w:r>
          </w:p>
        </w:tc>
        <w:tc>
          <w:tcPr>
            <w:tcW w:w="41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60" w:color="DDDDDD" w:fill="F3F3F3"/>
            <w:vAlign w:val="center"/>
          </w:tcPr>
          <w:p w:rsidR="007312BB" w:rsidRDefault="00CB11BC" w:rsidP="00CB11B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>M</w:t>
            </w:r>
            <w:r w:rsidR="00731990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>anifestation spéciale au siège du PROE</w:t>
            </w:r>
            <w:r w:rsidR="004E1056"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>:</w:t>
            </w:r>
          </w:p>
          <w:p w:rsidR="00CB11BC" w:rsidRPr="003C4D88" w:rsidRDefault="00CB11BC" w:rsidP="00CB11BC">
            <w:pPr>
              <w:jc w:val="center"/>
              <w:rPr>
                <w:rFonts w:asciiTheme="minorHAnsi" w:hAnsiTheme="minorHAnsi" w:cstheme="minorHAnsi"/>
                <w:b/>
                <w:i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5"/>
                <w:szCs w:val="15"/>
              </w:rPr>
              <w:t>Island Conservation et le PROE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60" w:color="DDDDDD" w:fill="F3F3F3"/>
            <w:vAlign w:val="center"/>
          </w:tcPr>
          <w:p w:rsidR="006927D1" w:rsidRPr="00F3384A" w:rsidRDefault="006927D1" w:rsidP="002F3A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</w:tbl>
    <w:p w:rsidR="005A370C" w:rsidRDefault="005A370C" w:rsidP="009C2AD2">
      <w:pPr>
        <w:ind w:right="-471"/>
        <w:rPr>
          <w:rFonts w:ascii="Calibri" w:hAnsi="Calibri"/>
          <w:b/>
          <w:bCs/>
          <w:sz w:val="18"/>
          <w:szCs w:val="18"/>
        </w:rPr>
      </w:pPr>
    </w:p>
    <w:p w:rsidR="00C0223D" w:rsidRPr="002F3A75" w:rsidRDefault="00C0223D" w:rsidP="007465D5">
      <w:pPr>
        <w:ind w:right="-471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* Le comité de rédaction se réunira de 7h</w:t>
      </w:r>
      <w:r w:rsidR="003D4BBD">
        <w:rPr>
          <w:rFonts w:ascii="Calibri" w:hAnsi="Calibri"/>
          <w:b/>
          <w:bCs/>
          <w:sz w:val="18"/>
          <w:szCs w:val="18"/>
        </w:rPr>
        <w:t>30 à 8</w:t>
      </w:r>
      <w:r>
        <w:rPr>
          <w:rFonts w:ascii="Calibri" w:hAnsi="Calibri"/>
          <w:b/>
          <w:bCs/>
          <w:sz w:val="18"/>
          <w:szCs w:val="18"/>
        </w:rPr>
        <w:t>h30 mercredi et jeudi pour approuver le procès-verbal de la veille.</w:t>
      </w:r>
    </w:p>
    <w:sectPr w:rsidR="00C0223D" w:rsidRPr="002F3A75" w:rsidSect="00635EF7">
      <w:headerReference w:type="default" r:id="rId8"/>
      <w:pgSz w:w="16834" w:h="11909" w:orient="landscape" w:code="9"/>
      <w:pgMar w:top="854" w:right="958" w:bottom="284" w:left="1440" w:header="426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C2B" w:rsidRDefault="00A41C2B">
      <w:r>
        <w:separator/>
      </w:r>
    </w:p>
  </w:endnote>
  <w:endnote w:type="continuationSeparator" w:id="1">
    <w:p w:rsidR="00A41C2B" w:rsidRDefault="00A41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E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C2B" w:rsidRDefault="00A41C2B">
      <w:r>
        <w:separator/>
      </w:r>
    </w:p>
  </w:footnote>
  <w:footnote w:type="continuationSeparator" w:id="1">
    <w:p w:rsidR="00A41C2B" w:rsidRDefault="00A41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5B" w:rsidRPr="00C27CD6" w:rsidRDefault="00EF4047" w:rsidP="005E0F9C">
    <w:pPr>
      <w:pStyle w:val="Header"/>
      <w:jc w:val="right"/>
      <w:rPr>
        <w:rStyle w:val="PageNumber"/>
        <w:rFonts w:ascii="Century Gothic" w:hAnsi="Century Gothic"/>
      </w:rPr>
    </w:pPr>
    <w:r>
      <w:rPr>
        <w:rStyle w:val="PageNumber"/>
        <w:rFonts w:ascii="Century Gothic" w:hAnsi="Century Gothic"/>
      </w:rPr>
      <w:t>24CP/Représentants officiels/DT.3/Ann.1</w:t>
    </w:r>
  </w:p>
  <w:p w:rsidR="005E0F9C" w:rsidRPr="00C27CD6" w:rsidRDefault="005E0F9C" w:rsidP="005E0F9C">
    <w:pPr>
      <w:pStyle w:val="Header"/>
      <w:jc w:val="right"/>
      <w:rPr>
        <w:rStyle w:val="PageNumber"/>
        <w:rFonts w:ascii="Century Gothic" w:hAnsi="Century Gothic"/>
      </w:rPr>
    </w:pPr>
    <w:r>
      <w:rPr>
        <w:rStyle w:val="PageNumber"/>
        <w:rFonts w:ascii="Century Gothic" w:hAnsi="Century Gothic"/>
      </w:rPr>
      <w:t>Page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9B5A0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6534ED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8C1005"/>
    <w:multiLevelType w:val="hybridMultilevel"/>
    <w:tmpl w:val="8EA284F2"/>
    <w:lvl w:ilvl="0" w:tplc="BC300F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0D0A5BF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2EA5A1E"/>
    <w:multiLevelType w:val="hybridMultilevel"/>
    <w:tmpl w:val="6B40D0CE"/>
    <w:lvl w:ilvl="0" w:tplc="BC300F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9618A"/>
    <w:multiLevelType w:val="multilevel"/>
    <w:tmpl w:val="8C0ABD2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4"/>
        </w:tabs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71"/>
        </w:tabs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82"/>
        </w:tabs>
        <w:ind w:left="5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59"/>
        </w:tabs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76"/>
        </w:tabs>
        <w:ind w:left="7176" w:hanging="1440"/>
      </w:pPr>
      <w:rPr>
        <w:rFonts w:hint="default"/>
      </w:rPr>
    </w:lvl>
  </w:abstractNum>
  <w:abstractNum w:abstractNumId="7">
    <w:nsid w:val="1F2578F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0A63648"/>
    <w:multiLevelType w:val="multilevel"/>
    <w:tmpl w:val="36081AA4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9">
    <w:nsid w:val="24370A0E"/>
    <w:multiLevelType w:val="singleLevel"/>
    <w:tmpl w:val="C360C2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0">
    <w:nsid w:val="25D636E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6CB757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6F07EA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B3420B5"/>
    <w:multiLevelType w:val="hybridMultilevel"/>
    <w:tmpl w:val="6B40D0CE"/>
    <w:lvl w:ilvl="0" w:tplc="2A869A4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BB6EC5"/>
    <w:multiLevelType w:val="singleLevel"/>
    <w:tmpl w:val="971EE526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2CF27F3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D2D4AB4"/>
    <w:multiLevelType w:val="singleLevel"/>
    <w:tmpl w:val="9932A770"/>
    <w:lvl w:ilvl="0">
      <w:start w:val="1"/>
      <w:numFmt w:val="bullet"/>
      <w:lvlText w:val="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18"/>
      </w:rPr>
    </w:lvl>
  </w:abstractNum>
  <w:abstractNum w:abstractNumId="17">
    <w:nsid w:val="2DDE680D"/>
    <w:multiLevelType w:val="hybridMultilevel"/>
    <w:tmpl w:val="8EA284F2"/>
    <w:lvl w:ilvl="0" w:tplc="5E4E5870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33690DC3"/>
    <w:multiLevelType w:val="multilevel"/>
    <w:tmpl w:val="46301BF4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4846DD2"/>
    <w:multiLevelType w:val="multilevel"/>
    <w:tmpl w:val="DA441DB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55840E4"/>
    <w:multiLevelType w:val="hybridMultilevel"/>
    <w:tmpl w:val="8EA284F2"/>
    <w:lvl w:ilvl="0" w:tplc="8BB650EA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3AA03E5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C14078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E423C7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07A3D2B"/>
    <w:multiLevelType w:val="hybridMultilevel"/>
    <w:tmpl w:val="97C254BA"/>
    <w:lvl w:ilvl="0" w:tplc="19DEDF8C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727A78"/>
    <w:multiLevelType w:val="hybridMultilevel"/>
    <w:tmpl w:val="44887A98"/>
    <w:lvl w:ilvl="0" w:tplc="19DEDF8C">
      <w:start w:val="1"/>
      <w:numFmt w:val="bullet"/>
      <w:lvlText w:val=""/>
      <w:lvlJc w:val="left"/>
      <w:pPr>
        <w:tabs>
          <w:tab w:val="num" w:pos="1843"/>
        </w:tabs>
        <w:ind w:left="1843" w:hanging="43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hint="default"/>
      </w:rPr>
    </w:lvl>
  </w:abstractNum>
  <w:abstractNum w:abstractNumId="26">
    <w:nsid w:val="44E01190"/>
    <w:multiLevelType w:val="hybridMultilevel"/>
    <w:tmpl w:val="D5862BE4"/>
    <w:lvl w:ilvl="0" w:tplc="8BB650EA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C426CD"/>
    <w:multiLevelType w:val="multilevel"/>
    <w:tmpl w:val="8DF46610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</w:abstractNum>
  <w:abstractNum w:abstractNumId="28">
    <w:nsid w:val="474273FF"/>
    <w:multiLevelType w:val="multilevel"/>
    <w:tmpl w:val="7B7CE1DC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>
    <w:nsid w:val="506B4F06"/>
    <w:multiLevelType w:val="multilevel"/>
    <w:tmpl w:val="D8D62012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>
    <w:nsid w:val="52432863"/>
    <w:multiLevelType w:val="singleLevel"/>
    <w:tmpl w:val="46B04428"/>
    <w:lvl w:ilvl="0">
      <w:start w:val="1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>
    <w:nsid w:val="5A320883"/>
    <w:multiLevelType w:val="multilevel"/>
    <w:tmpl w:val="5E683A4E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</w:abstractNum>
  <w:abstractNum w:abstractNumId="32">
    <w:nsid w:val="5A373252"/>
    <w:multiLevelType w:val="hybridMultilevel"/>
    <w:tmpl w:val="78AE080A"/>
    <w:lvl w:ilvl="0" w:tplc="19DEDF8C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D815C6"/>
    <w:multiLevelType w:val="multilevel"/>
    <w:tmpl w:val="029C80F8"/>
    <w:lvl w:ilvl="0">
      <w:start w:val="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00"/>
        </w:tabs>
        <w:ind w:left="1500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00"/>
        </w:tabs>
        <w:ind w:left="2100" w:hanging="900"/>
      </w:pPr>
      <w:rPr>
        <w:rFonts w:hint="default"/>
      </w:rPr>
    </w:lvl>
    <w:lvl w:ilvl="3">
      <w:start w:val="10"/>
      <w:numFmt w:val="decimal"/>
      <w:lvlText w:val="%1.%2.%3.%4"/>
      <w:lvlJc w:val="left"/>
      <w:pPr>
        <w:tabs>
          <w:tab w:val="num" w:pos="2700"/>
        </w:tabs>
        <w:ind w:left="27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00"/>
        </w:tabs>
        <w:ind w:left="33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1440"/>
      </w:pPr>
      <w:rPr>
        <w:rFonts w:hint="default"/>
      </w:rPr>
    </w:lvl>
  </w:abstractNum>
  <w:abstractNum w:abstractNumId="34">
    <w:nsid w:val="5E3B4C74"/>
    <w:multiLevelType w:val="hybridMultilevel"/>
    <w:tmpl w:val="8F3A2778"/>
    <w:lvl w:ilvl="0" w:tplc="8BB650EA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2270DA"/>
    <w:multiLevelType w:val="multilevel"/>
    <w:tmpl w:val="77F09AC4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6">
    <w:nsid w:val="609C09F2"/>
    <w:multiLevelType w:val="multilevel"/>
    <w:tmpl w:val="6B6C8672"/>
    <w:lvl w:ilvl="0">
      <w:start w:val="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00"/>
        </w:tabs>
        <w:ind w:left="1500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00"/>
        </w:tabs>
        <w:ind w:left="2100" w:hanging="900"/>
      </w:pPr>
      <w:rPr>
        <w:rFonts w:hint="default"/>
      </w:rPr>
    </w:lvl>
    <w:lvl w:ilvl="3">
      <w:start w:val="10"/>
      <w:numFmt w:val="decimal"/>
      <w:lvlText w:val="%1.%2.%3.%4"/>
      <w:lvlJc w:val="left"/>
      <w:pPr>
        <w:tabs>
          <w:tab w:val="num" w:pos="2700"/>
        </w:tabs>
        <w:ind w:left="27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1440"/>
      </w:pPr>
      <w:rPr>
        <w:rFonts w:hint="default"/>
      </w:rPr>
    </w:lvl>
  </w:abstractNum>
  <w:abstractNum w:abstractNumId="37">
    <w:nsid w:val="6C6231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6CBE017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FEF7F60"/>
    <w:multiLevelType w:val="multilevel"/>
    <w:tmpl w:val="4AC4B19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02"/>
        </w:tabs>
        <w:ind w:left="110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14"/>
        </w:tabs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61"/>
        </w:tabs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68"/>
        </w:tabs>
        <w:ind w:left="3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15"/>
        </w:tabs>
        <w:ind w:left="3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22"/>
        </w:tabs>
        <w:ind w:left="47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9"/>
        </w:tabs>
        <w:ind w:left="52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76"/>
        </w:tabs>
        <w:ind w:left="6176" w:hanging="1800"/>
      </w:pPr>
      <w:rPr>
        <w:rFonts w:hint="default"/>
      </w:rPr>
    </w:lvl>
  </w:abstractNum>
  <w:abstractNum w:abstractNumId="40">
    <w:nsid w:val="70071A0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07F754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28D68C7"/>
    <w:multiLevelType w:val="multilevel"/>
    <w:tmpl w:val="B3B6EB8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3">
    <w:nsid w:val="78DA151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9906DF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7BC22724"/>
    <w:multiLevelType w:val="singleLevel"/>
    <w:tmpl w:val="9664E008"/>
    <w:lvl w:ilvl="0">
      <w:start w:val="1"/>
      <w:numFmt w:val="bullet"/>
      <w:pStyle w:val="MainHead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C4C316D"/>
    <w:multiLevelType w:val="multilevel"/>
    <w:tmpl w:val="D6BA3F64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7">
    <w:nsid w:val="7CEB0DAB"/>
    <w:multiLevelType w:val="multilevel"/>
    <w:tmpl w:val="2530F1EE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1134" w:hanging="567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28"/>
  </w:num>
  <w:num w:numId="4">
    <w:abstractNumId w:val="18"/>
  </w:num>
  <w:num w:numId="5">
    <w:abstractNumId w:val="30"/>
  </w:num>
  <w:num w:numId="6">
    <w:abstractNumId w:val="31"/>
  </w:num>
  <w:num w:numId="7">
    <w:abstractNumId w:val="46"/>
  </w:num>
  <w:num w:numId="8">
    <w:abstractNumId w:val="47"/>
  </w:num>
  <w:num w:numId="9">
    <w:abstractNumId w:val="39"/>
  </w:num>
  <w:num w:numId="10">
    <w:abstractNumId w:val="19"/>
  </w:num>
  <w:num w:numId="11">
    <w:abstractNumId w:val="27"/>
  </w:num>
  <w:num w:numId="12">
    <w:abstractNumId w:val="41"/>
  </w:num>
  <w:num w:numId="13">
    <w:abstractNumId w:val="43"/>
  </w:num>
  <w:num w:numId="14">
    <w:abstractNumId w:val="15"/>
  </w:num>
  <w:num w:numId="15">
    <w:abstractNumId w:val="7"/>
  </w:num>
  <w:num w:numId="16">
    <w:abstractNumId w:val="1"/>
  </w:num>
  <w:num w:numId="17">
    <w:abstractNumId w:val="35"/>
  </w:num>
  <w:num w:numId="18">
    <w:abstractNumId w:val="37"/>
  </w:num>
  <w:num w:numId="19">
    <w:abstractNumId w:val="21"/>
  </w:num>
  <w:num w:numId="20">
    <w:abstractNumId w:val="40"/>
  </w:num>
  <w:num w:numId="21">
    <w:abstractNumId w:val="44"/>
  </w:num>
  <w:num w:numId="22">
    <w:abstractNumId w:val="4"/>
  </w:num>
  <w:num w:numId="23">
    <w:abstractNumId w:val="12"/>
  </w:num>
  <w:num w:numId="24">
    <w:abstractNumId w:val="8"/>
  </w:num>
  <w:num w:numId="25">
    <w:abstractNumId w:val="23"/>
  </w:num>
  <w:num w:numId="26">
    <w:abstractNumId w:val="2"/>
  </w:num>
  <w:num w:numId="27">
    <w:abstractNumId w:val="22"/>
  </w:num>
  <w:num w:numId="28">
    <w:abstractNumId w:val="33"/>
  </w:num>
  <w:num w:numId="29">
    <w:abstractNumId w:val="10"/>
  </w:num>
  <w:num w:numId="30">
    <w:abstractNumId w:val="36"/>
  </w:num>
  <w:num w:numId="31">
    <w:abstractNumId w:val="9"/>
  </w:num>
  <w:num w:numId="32">
    <w:abstractNumId w:val="38"/>
  </w:num>
  <w:num w:numId="33">
    <w:abstractNumId w:val="25"/>
  </w:num>
  <w:num w:numId="34">
    <w:abstractNumId w:val="24"/>
  </w:num>
  <w:num w:numId="35">
    <w:abstractNumId w:val="32"/>
  </w:num>
  <w:num w:numId="36">
    <w:abstractNumId w:val="11"/>
  </w:num>
  <w:num w:numId="37">
    <w:abstractNumId w:val="3"/>
  </w:num>
  <w:num w:numId="38">
    <w:abstractNumId w:val="45"/>
  </w:num>
  <w:num w:numId="39">
    <w:abstractNumId w:val="16"/>
  </w:num>
  <w:num w:numId="40">
    <w:abstractNumId w:val="5"/>
  </w:num>
  <w:num w:numId="41">
    <w:abstractNumId w:val="17"/>
  </w:num>
  <w:num w:numId="42">
    <w:abstractNumId w:val="26"/>
  </w:num>
  <w:num w:numId="43">
    <w:abstractNumId w:val="20"/>
  </w:num>
  <w:num w:numId="44">
    <w:abstractNumId w:val="34"/>
  </w:num>
  <w:num w:numId="45">
    <w:abstractNumId w:val="13"/>
  </w:num>
  <w:num w:numId="46">
    <w:abstractNumId w:val="29"/>
  </w:num>
  <w:num w:numId="47">
    <w:abstractNumId w:val="6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B6868"/>
    <w:rsid w:val="00031F37"/>
    <w:rsid w:val="000356C1"/>
    <w:rsid w:val="00035802"/>
    <w:rsid w:val="00046F75"/>
    <w:rsid w:val="00050C06"/>
    <w:rsid w:val="000534CE"/>
    <w:rsid w:val="000644E4"/>
    <w:rsid w:val="00071449"/>
    <w:rsid w:val="00093079"/>
    <w:rsid w:val="000C30F8"/>
    <w:rsid w:val="000D13C3"/>
    <w:rsid w:val="000D37D1"/>
    <w:rsid w:val="000E4D38"/>
    <w:rsid w:val="000E675B"/>
    <w:rsid w:val="000E7EE1"/>
    <w:rsid w:val="000F6839"/>
    <w:rsid w:val="0010607F"/>
    <w:rsid w:val="00106ACF"/>
    <w:rsid w:val="00106C22"/>
    <w:rsid w:val="001160A2"/>
    <w:rsid w:val="00121862"/>
    <w:rsid w:val="00126352"/>
    <w:rsid w:val="00144CE9"/>
    <w:rsid w:val="001775DC"/>
    <w:rsid w:val="00180E93"/>
    <w:rsid w:val="00191426"/>
    <w:rsid w:val="00197F1F"/>
    <w:rsid w:val="001A5230"/>
    <w:rsid w:val="001B5D86"/>
    <w:rsid w:val="001C4A8C"/>
    <w:rsid w:val="001D08A1"/>
    <w:rsid w:val="001F1491"/>
    <w:rsid w:val="001F2063"/>
    <w:rsid w:val="001F3DF8"/>
    <w:rsid w:val="0021712E"/>
    <w:rsid w:val="0022742B"/>
    <w:rsid w:val="002417ED"/>
    <w:rsid w:val="00244110"/>
    <w:rsid w:val="00295F89"/>
    <w:rsid w:val="002B6868"/>
    <w:rsid w:val="002C6AB5"/>
    <w:rsid w:val="002F3A75"/>
    <w:rsid w:val="00307254"/>
    <w:rsid w:val="00312B59"/>
    <w:rsid w:val="0031300E"/>
    <w:rsid w:val="0032568A"/>
    <w:rsid w:val="00332673"/>
    <w:rsid w:val="0036697A"/>
    <w:rsid w:val="00384A79"/>
    <w:rsid w:val="003B380F"/>
    <w:rsid w:val="003C0AA8"/>
    <w:rsid w:val="003C4D88"/>
    <w:rsid w:val="003C4ED7"/>
    <w:rsid w:val="003D309C"/>
    <w:rsid w:val="003D4BBD"/>
    <w:rsid w:val="003F78F6"/>
    <w:rsid w:val="0041173D"/>
    <w:rsid w:val="00427808"/>
    <w:rsid w:val="00442734"/>
    <w:rsid w:val="00470455"/>
    <w:rsid w:val="00477B74"/>
    <w:rsid w:val="0048745C"/>
    <w:rsid w:val="004B12BF"/>
    <w:rsid w:val="004B1DA2"/>
    <w:rsid w:val="004C4528"/>
    <w:rsid w:val="004E1056"/>
    <w:rsid w:val="004E6D0A"/>
    <w:rsid w:val="004F5AB5"/>
    <w:rsid w:val="00505D69"/>
    <w:rsid w:val="00520789"/>
    <w:rsid w:val="005228CF"/>
    <w:rsid w:val="005244CB"/>
    <w:rsid w:val="005336C0"/>
    <w:rsid w:val="00534E35"/>
    <w:rsid w:val="00557BB2"/>
    <w:rsid w:val="0056746D"/>
    <w:rsid w:val="00571455"/>
    <w:rsid w:val="00583F76"/>
    <w:rsid w:val="00592A8F"/>
    <w:rsid w:val="005A370C"/>
    <w:rsid w:val="005A78EF"/>
    <w:rsid w:val="005B61AE"/>
    <w:rsid w:val="005E0F9C"/>
    <w:rsid w:val="005F12B1"/>
    <w:rsid w:val="00622FC9"/>
    <w:rsid w:val="006234FE"/>
    <w:rsid w:val="00635EF7"/>
    <w:rsid w:val="0064660F"/>
    <w:rsid w:val="00663CD7"/>
    <w:rsid w:val="00664321"/>
    <w:rsid w:val="00664C39"/>
    <w:rsid w:val="00671694"/>
    <w:rsid w:val="006777CC"/>
    <w:rsid w:val="006927D1"/>
    <w:rsid w:val="0070675B"/>
    <w:rsid w:val="00706E32"/>
    <w:rsid w:val="00711D14"/>
    <w:rsid w:val="007312BB"/>
    <w:rsid w:val="00731990"/>
    <w:rsid w:val="007465D5"/>
    <w:rsid w:val="00750A0A"/>
    <w:rsid w:val="00752109"/>
    <w:rsid w:val="00765951"/>
    <w:rsid w:val="00774BB0"/>
    <w:rsid w:val="0078768B"/>
    <w:rsid w:val="00793F53"/>
    <w:rsid w:val="007B0254"/>
    <w:rsid w:val="007B0E8B"/>
    <w:rsid w:val="007D5353"/>
    <w:rsid w:val="007E5E6D"/>
    <w:rsid w:val="0080268D"/>
    <w:rsid w:val="00806AE0"/>
    <w:rsid w:val="008170F6"/>
    <w:rsid w:val="00851910"/>
    <w:rsid w:val="008664D3"/>
    <w:rsid w:val="00867B5B"/>
    <w:rsid w:val="00873BDE"/>
    <w:rsid w:val="00873E02"/>
    <w:rsid w:val="00877CB6"/>
    <w:rsid w:val="00896B74"/>
    <w:rsid w:val="008C3398"/>
    <w:rsid w:val="008C4EFC"/>
    <w:rsid w:val="008D06A8"/>
    <w:rsid w:val="008D08E6"/>
    <w:rsid w:val="008D4F08"/>
    <w:rsid w:val="008E1C60"/>
    <w:rsid w:val="008F0FC0"/>
    <w:rsid w:val="009012C9"/>
    <w:rsid w:val="00901473"/>
    <w:rsid w:val="00901BC8"/>
    <w:rsid w:val="00914969"/>
    <w:rsid w:val="00936C39"/>
    <w:rsid w:val="0094587A"/>
    <w:rsid w:val="00955E45"/>
    <w:rsid w:val="009740B9"/>
    <w:rsid w:val="009973A6"/>
    <w:rsid w:val="009A0DEC"/>
    <w:rsid w:val="009A238B"/>
    <w:rsid w:val="009C2AD2"/>
    <w:rsid w:val="009F7932"/>
    <w:rsid w:val="00A04599"/>
    <w:rsid w:val="00A175DA"/>
    <w:rsid w:val="00A3619B"/>
    <w:rsid w:val="00A37DA4"/>
    <w:rsid w:val="00A41C2B"/>
    <w:rsid w:val="00A616D3"/>
    <w:rsid w:val="00A65396"/>
    <w:rsid w:val="00A8087B"/>
    <w:rsid w:val="00A906F4"/>
    <w:rsid w:val="00A977E3"/>
    <w:rsid w:val="00A97E47"/>
    <w:rsid w:val="00AB0181"/>
    <w:rsid w:val="00AB2E1E"/>
    <w:rsid w:val="00AF3914"/>
    <w:rsid w:val="00AF5ED6"/>
    <w:rsid w:val="00B06536"/>
    <w:rsid w:val="00B22356"/>
    <w:rsid w:val="00B46A5A"/>
    <w:rsid w:val="00B474E7"/>
    <w:rsid w:val="00B50C17"/>
    <w:rsid w:val="00B60E03"/>
    <w:rsid w:val="00B71138"/>
    <w:rsid w:val="00B82FEB"/>
    <w:rsid w:val="00B94530"/>
    <w:rsid w:val="00B9480D"/>
    <w:rsid w:val="00BA0472"/>
    <w:rsid w:val="00BA6DC1"/>
    <w:rsid w:val="00BB5CD0"/>
    <w:rsid w:val="00BD7F40"/>
    <w:rsid w:val="00BF2F52"/>
    <w:rsid w:val="00BF6C7C"/>
    <w:rsid w:val="00C0223D"/>
    <w:rsid w:val="00C13859"/>
    <w:rsid w:val="00C17289"/>
    <w:rsid w:val="00C177B7"/>
    <w:rsid w:val="00C27CD6"/>
    <w:rsid w:val="00C27EFD"/>
    <w:rsid w:val="00C36AA9"/>
    <w:rsid w:val="00C60421"/>
    <w:rsid w:val="00CA47D9"/>
    <w:rsid w:val="00CB11BC"/>
    <w:rsid w:val="00CD068B"/>
    <w:rsid w:val="00CD1052"/>
    <w:rsid w:val="00CD3564"/>
    <w:rsid w:val="00CE4B1B"/>
    <w:rsid w:val="00CF76F3"/>
    <w:rsid w:val="00D13E3A"/>
    <w:rsid w:val="00D177DD"/>
    <w:rsid w:val="00D21968"/>
    <w:rsid w:val="00D3124F"/>
    <w:rsid w:val="00D40ABF"/>
    <w:rsid w:val="00D42246"/>
    <w:rsid w:val="00D522CF"/>
    <w:rsid w:val="00D57317"/>
    <w:rsid w:val="00D67746"/>
    <w:rsid w:val="00D77606"/>
    <w:rsid w:val="00D9314F"/>
    <w:rsid w:val="00DB4E23"/>
    <w:rsid w:val="00DD683A"/>
    <w:rsid w:val="00E124A4"/>
    <w:rsid w:val="00E13852"/>
    <w:rsid w:val="00E24995"/>
    <w:rsid w:val="00E275C4"/>
    <w:rsid w:val="00E46A5B"/>
    <w:rsid w:val="00E6394E"/>
    <w:rsid w:val="00E86255"/>
    <w:rsid w:val="00EB0441"/>
    <w:rsid w:val="00EB52F1"/>
    <w:rsid w:val="00ED1286"/>
    <w:rsid w:val="00ED516A"/>
    <w:rsid w:val="00EF4047"/>
    <w:rsid w:val="00F00C87"/>
    <w:rsid w:val="00F01358"/>
    <w:rsid w:val="00F01919"/>
    <w:rsid w:val="00F07BE0"/>
    <w:rsid w:val="00F3384A"/>
    <w:rsid w:val="00F4406A"/>
    <w:rsid w:val="00F45C69"/>
    <w:rsid w:val="00F46CF8"/>
    <w:rsid w:val="00F475FD"/>
    <w:rsid w:val="00F774B1"/>
    <w:rsid w:val="00F850E4"/>
    <w:rsid w:val="00F97B5D"/>
    <w:rsid w:val="00FC0CAD"/>
    <w:rsid w:val="00FD2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398"/>
  </w:style>
  <w:style w:type="paragraph" w:styleId="Heading1">
    <w:name w:val="heading 1"/>
    <w:basedOn w:val="Normal"/>
    <w:next w:val="Normal"/>
    <w:qFormat/>
    <w:rsid w:val="008C3398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8C3398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C3398"/>
    <w:pPr>
      <w:keepNext/>
      <w:ind w:left="1080"/>
      <w:jc w:val="both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8C3398"/>
    <w:pPr>
      <w:keepNext/>
      <w:ind w:left="2520" w:hanging="72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8C3398"/>
    <w:pPr>
      <w:keepNext/>
      <w:ind w:left="2520" w:hanging="720"/>
      <w:jc w:val="both"/>
      <w:outlineLvl w:val="4"/>
    </w:pPr>
    <w:rPr>
      <w:i/>
      <w:sz w:val="24"/>
    </w:rPr>
  </w:style>
  <w:style w:type="paragraph" w:styleId="Heading6">
    <w:name w:val="heading 6"/>
    <w:basedOn w:val="Normal"/>
    <w:next w:val="Normal"/>
    <w:qFormat/>
    <w:rsid w:val="008C3398"/>
    <w:pPr>
      <w:keepNext/>
      <w:ind w:left="1800"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rsid w:val="008C3398"/>
    <w:pPr>
      <w:keepNext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8C3398"/>
    <w:pPr>
      <w:keepNext/>
      <w:ind w:left="720" w:hanging="72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8C3398"/>
    <w:pPr>
      <w:keepNext/>
      <w:spacing w:before="120" w:after="1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33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C33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3398"/>
  </w:style>
  <w:style w:type="paragraph" w:styleId="BodyTextIndent">
    <w:name w:val="Body Text Indent"/>
    <w:basedOn w:val="Normal"/>
    <w:rsid w:val="008C3398"/>
    <w:pPr>
      <w:ind w:left="567" w:hanging="567"/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rsid w:val="008C3398"/>
    <w:pPr>
      <w:ind w:left="1980"/>
    </w:pPr>
    <w:rPr>
      <w:rFonts w:ascii="CG Times (E1)" w:hAnsi="CG Times (E1)"/>
      <w:sz w:val="24"/>
    </w:rPr>
  </w:style>
  <w:style w:type="paragraph" w:styleId="BodyTextIndent2">
    <w:name w:val="Body Text Indent 2"/>
    <w:basedOn w:val="Normal"/>
    <w:rsid w:val="008C3398"/>
    <w:pPr>
      <w:ind w:left="1620" w:hanging="540"/>
      <w:jc w:val="both"/>
    </w:pPr>
    <w:rPr>
      <w:sz w:val="24"/>
    </w:rPr>
  </w:style>
  <w:style w:type="paragraph" w:styleId="BodyText">
    <w:name w:val="Body Text"/>
    <w:basedOn w:val="Normal"/>
    <w:rsid w:val="008C3398"/>
    <w:pPr>
      <w:jc w:val="both"/>
    </w:pPr>
    <w:rPr>
      <w:sz w:val="24"/>
    </w:rPr>
  </w:style>
  <w:style w:type="paragraph" w:styleId="BodyTextIndent3">
    <w:name w:val="Body Text Indent 3"/>
    <w:basedOn w:val="Normal"/>
    <w:rsid w:val="008C3398"/>
    <w:pPr>
      <w:ind w:left="540" w:hanging="540"/>
      <w:jc w:val="both"/>
    </w:pPr>
    <w:rPr>
      <w:b/>
      <w:sz w:val="22"/>
    </w:rPr>
  </w:style>
  <w:style w:type="paragraph" w:styleId="BodyText2">
    <w:name w:val="Body Text 2"/>
    <w:basedOn w:val="Normal"/>
    <w:rsid w:val="008C3398"/>
    <w:pPr>
      <w:tabs>
        <w:tab w:val="left" w:pos="720"/>
      </w:tabs>
      <w:jc w:val="both"/>
    </w:pPr>
    <w:rPr>
      <w:sz w:val="22"/>
    </w:rPr>
  </w:style>
  <w:style w:type="paragraph" w:styleId="BodyText3">
    <w:name w:val="Body Text 3"/>
    <w:basedOn w:val="Normal"/>
    <w:rsid w:val="008C3398"/>
    <w:pPr>
      <w:spacing w:before="60"/>
    </w:pPr>
    <w:rPr>
      <w:sz w:val="22"/>
    </w:rPr>
  </w:style>
  <w:style w:type="paragraph" w:styleId="BlockText">
    <w:name w:val="Block Text"/>
    <w:basedOn w:val="Normal"/>
    <w:rsid w:val="008C3398"/>
    <w:pPr>
      <w:ind w:left="335" w:right="-115" w:hanging="364"/>
    </w:pPr>
    <w:rPr>
      <w:rFonts w:ascii="Arial" w:hAnsi="Arial" w:cs="Arial"/>
      <w:sz w:val="16"/>
    </w:rPr>
  </w:style>
  <w:style w:type="paragraph" w:customStyle="1" w:styleId="MainHeading">
    <w:name w:val="Main Heading"/>
    <w:basedOn w:val="Normal"/>
    <w:rsid w:val="008C3398"/>
    <w:pPr>
      <w:numPr>
        <w:numId w:val="38"/>
      </w:numPr>
      <w:spacing w:after="240"/>
      <w:jc w:val="both"/>
    </w:pPr>
    <w:rPr>
      <w:rFonts w:ascii="CG Times (WN)" w:hAnsi="CG Times (WN)"/>
      <w:sz w:val="24"/>
      <w:lang w:val="en-AU"/>
    </w:rPr>
  </w:style>
  <w:style w:type="paragraph" w:styleId="Title">
    <w:name w:val="Title"/>
    <w:basedOn w:val="Normal"/>
    <w:qFormat/>
    <w:rsid w:val="008C3398"/>
    <w:pPr>
      <w:jc w:val="center"/>
    </w:pPr>
    <w:rPr>
      <w:rFonts w:ascii="Trebuchet MS" w:hAnsi="Trebuchet MS" w:cs="Arial"/>
      <w:b/>
      <w:bCs/>
    </w:rPr>
  </w:style>
  <w:style w:type="paragraph" w:styleId="ListParagraph">
    <w:name w:val="List Paragraph"/>
    <w:basedOn w:val="Normal"/>
    <w:qFormat/>
    <w:rsid w:val="00914969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6D0A"/>
  </w:style>
  <w:style w:type="character" w:customStyle="1" w:styleId="Heading2Char">
    <w:name w:val="Heading 2 Char"/>
    <w:basedOn w:val="DefaultParagraphFont"/>
    <w:link w:val="Heading2"/>
    <w:uiPriority w:val="99"/>
    <w:locked/>
    <w:rsid w:val="000E4D3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5BF26-03C3-460F-B69E-6D288FF1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Apia, Western Samoa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SPREP</dc:creator>
  <cp:lastModifiedBy>miraneta</cp:lastModifiedBy>
  <cp:revision>2</cp:revision>
  <cp:lastPrinted>2013-09-15T23:51:00Z</cp:lastPrinted>
  <dcterms:created xsi:type="dcterms:W3CDTF">2013-09-16T20:57:00Z</dcterms:created>
  <dcterms:modified xsi:type="dcterms:W3CDTF">2013-09-16T20:57:00Z</dcterms:modified>
</cp:coreProperties>
</file>