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65" w:rsidRPr="00AE3E08" w:rsidRDefault="004B3D57" w:rsidP="00AE3E08">
      <w:pPr>
        <w:pBdr>
          <w:bottom w:val="single" w:sz="4" w:space="1" w:color="auto"/>
        </w:pBd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Development Partn</w:t>
      </w: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>er Activity</w:t>
      </w:r>
      <w:r w:rsidR="00CF29C8">
        <w:rPr>
          <w:rFonts w:ascii="Arial Rounded MT Bold" w:hAnsi="Arial Rounded MT Bold"/>
          <w:sz w:val="28"/>
          <w:szCs w:val="28"/>
        </w:rPr>
        <w:t xml:space="preserve"> </w:t>
      </w:r>
      <w:r w:rsidR="00AE3E08">
        <w:rPr>
          <w:rFonts w:ascii="Arial Rounded MT Bold" w:hAnsi="Arial Rounded MT Bold"/>
          <w:sz w:val="28"/>
          <w:szCs w:val="28"/>
        </w:rPr>
        <w:t>Matrix</w:t>
      </w:r>
      <w:r w:rsidR="00AE3E08" w:rsidRPr="00AE3E08">
        <w:rPr>
          <w:rFonts w:ascii="Arial Rounded MT Bold" w:hAnsi="Arial Rounded MT Bold"/>
          <w:sz w:val="28"/>
          <w:szCs w:val="28"/>
        </w:rPr>
        <w:t xml:space="preserve"> - </w:t>
      </w:r>
      <w:r w:rsidR="00AE3E08" w:rsidRPr="00AE3E08">
        <w:rPr>
          <w:rFonts w:ascii="Arial Rounded MT Bold" w:hAnsi="Arial Rounded MT Bold" w:cs="Arial"/>
          <w:sz w:val="28"/>
          <w:szCs w:val="28"/>
        </w:rPr>
        <w:t xml:space="preserve">Waste </w:t>
      </w:r>
      <w:r w:rsidR="002228CF">
        <w:rPr>
          <w:rFonts w:ascii="Arial Rounded MT Bold" w:hAnsi="Arial Rounded MT Bold" w:cs="Arial"/>
          <w:sz w:val="28"/>
          <w:szCs w:val="28"/>
        </w:rPr>
        <w:t xml:space="preserve">and Pollution </w:t>
      </w:r>
      <w:r w:rsidR="00AE3E08" w:rsidRPr="00AE3E08">
        <w:rPr>
          <w:rFonts w:ascii="Arial Rounded MT Bold" w:hAnsi="Arial Rounded MT Bold" w:cs="Arial"/>
          <w:sz w:val="28"/>
          <w:szCs w:val="28"/>
        </w:rPr>
        <w:t xml:space="preserve">Management </w:t>
      </w:r>
      <w:r w:rsidR="00CF29C8">
        <w:rPr>
          <w:rFonts w:ascii="Arial Rounded MT Bold" w:hAnsi="Arial Rounded MT Bold" w:cs="Arial"/>
          <w:sz w:val="28"/>
          <w:szCs w:val="28"/>
        </w:rPr>
        <w:t xml:space="preserve">Country </w:t>
      </w:r>
      <w:r w:rsidR="00AE3E08" w:rsidRPr="00AE3E08">
        <w:rPr>
          <w:rFonts w:ascii="Arial Rounded MT Bold" w:hAnsi="Arial Rounded MT Bold" w:cs="Arial"/>
          <w:sz w:val="28"/>
          <w:szCs w:val="28"/>
        </w:rPr>
        <w:t>Programme</w:t>
      </w:r>
      <w:r w:rsidR="00CF29C8">
        <w:rPr>
          <w:rFonts w:ascii="Arial Rounded MT Bold" w:hAnsi="Arial Rounded MT Bold" w:cs="Arial"/>
          <w:sz w:val="28"/>
          <w:szCs w:val="28"/>
        </w:rPr>
        <w:t xml:space="preserve"> Assistance Areas</w:t>
      </w:r>
    </w:p>
    <w:p w:rsidR="00CF29C8" w:rsidRDefault="00AE3E08" w:rsidP="00AE3E08">
      <w:pPr>
        <w:spacing w:line="264" w:lineRule="auto"/>
        <w:rPr>
          <w:rFonts w:ascii="Arial" w:hAnsi="Arial" w:cs="Arial"/>
          <w:sz w:val="21"/>
          <w:szCs w:val="21"/>
        </w:rPr>
      </w:pPr>
      <w:r w:rsidRPr="00AE3E08">
        <w:rPr>
          <w:rFonts w:ascii="Arial" w:hAnsi="Arial" w:cs="Arial"/>
          <w:sz w:val="21"/>
          <w:szCs w:val="21"/>
        </w:rPr>
        <w:t xml:space="preserve">As part of SPREP's country consultations on the development of activities for the </w:t>
      </w:r>
      <w:r w:rsidR="00E50575">
        <w:rPr>
          <w:rFonts w:ascii="Arial" w:hAnsi="Arial" w:cs="Arial"/>
          <w:sz w:val="21"/>
          <w:szCs w:val="21"/>
        </w:rPr>
        <w:t xml:space="preserve">EDF11 </w:t>
      </w:r>
      <w:r w:rsidRPr="00AE3E08">
        <w:rPr>
          <w:rFonts w:ascii="Arial" w:hAnsi="Arial" w:cs="Arial"/>
          <w:sz w:val="21"/>
          <w:szCs w:val="21"/>
        </w:rPr>
        <w:t xml:space="preserve">Pacific-EU Waste Management Programme </w:t>
      </w:r>
      <w:r w:rsidR="00CF29C8">
        <w:rPr>
          <w:rFonts w:ascii="Arial" w:hAnsi="Arial" w:cs="Arial"/>
          <w:sz w:val="21"/>
          <w:szCs w:val="21"/>
        </w:rPr>
        <w:t xml:space="preserve">we have asked </w:t>
      </w:r>
      <w:r w:rsidRPr="00AE3E08">
        <w:rPr>
          <w:rFonts w:ascii="Arial" w:hAnsi="Arial" w:cs="Arial"/>
          <w:sz w:val="21"/>
          <w:szCs w:val="21"/>
        </w:rPr>
        <w:t xml:space="preserve">Pacific island country representatives to complete </w:t>
      </w:r>
      <w:r w:rsidR="00CF29C8">
        <w:rPr>
          <w:rFonts w:ascii="Arial" w:hAnsi="Arial" w:cs="Arial"/>
          <w:sz w:val="21"/>
          <w:szCs w:val="21"/>
        </w:rPr>
        <w:t xml:space="preserve">a </w:t>
      </w:r>
      <w:r w:rsidR="008A045B" w:rsidRPr="008A045B">
        <w:rPr>
          <w:rFonts w:ascii="Arial" w:hAnsi="Arial" w:cs="Arial"/>
          <w:i/>
          <w:sz w:val="21"/>
          <w:szCs w:val="21"/>
        </w:rPr>
        <w:t xml:space="preserve">Country </w:t>
      </w:r>
      <w:r w:rsidR="00CF29C8" w:rsidRPr="008A045B">
        <w:rPr>
          <w:rFonts w:ascii="Arial" w:hAnsi="Arial" w:cs="Arial"/>
          <w:i/>
          <w:sz w:val="21"/>
          <w:szCs w:val="21"/>
        </w:rPr>
        <w:t>Prioritisation Matrix</w:t>
      </w:r>
      <w:r w:rsidR="00CF29C8">
        <w:rPr>
          <w:rFonts w:ascii="Arial" w:hAnsi="Arial" w:cs="Arial"/>
          <w:sz w:val="21"/>
          <w:szCs w:val="21"/>
        </w:rPr>
        <w:t xml:space="preserve"> of waste streams and strategic actions ranking of High, Medium or Low, according to the needs of the country. </w:t>
      </w:r>
    </w:p>
    <w:p w:rsidR="00CF29C8" w:rsidRDefault="00CF29C8" w:rsidP="00AE3E08">
      <w:pPr>
        <w:spacing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assist </w:t>
      </w:r>
      <w:r w:rsidR="004215DA">
        <w:rPr>
          <w:rFonts w:ascii="Arial" w:hAnsi="Arial" w:cs="Arial"/>
          <w:sz w:val="21"/>
          <w:szCs w:val="21"/>
        </w:rPr>
        <w:t>in this exercise</w:t>
      </w:r>
      <w:r>
        <w:rPr>
          <w:rFonts w:ascii="Arial" w:hAnsi="Arial" w:cs="Arial"/>
          <w:sz w:val="21"/>
          <w:szCs w:val="21"/>
        </w:rPr>
        <w:t xml:space="preserve">, and coordination of the Cleaner Pacific 2025, we invite development partners to complete this </w:t>
      </w:r>
      <w:r w:rsidR="008A045B" w:rsidRPr="008A045B">
        <w:rPr>
          <w:rFonts w:ascii="Arial" w:hAnsi="Arial" w:cs="Arial"/>
          <w:i/>
          <w:sz w:val="21"/>
          <w:szCs w:val="21"/>
          <w:u w:val="single"/>
        </w:rPr>
        <w:t>Development Partners</w:t>
      </w:r>
      <w:r w:rsidR="00815281">
        <w:rPr>
          <w:rFonts w:ascii="Arial" w:hAnsi="Arial" w:cs="Arial"/>
          <w:i/>
          <w:sz w:val="21"/>
          <w:szCs w:val="21"/>
          <w:u w:val="single"/>
        </w:rPr>
        <w:t xml:space="preserve"> Activity</w:t>
      </w:r>
      <w:r w:rsidR="008A045B" w:rsidRPr="008A045B">
        <w:rPr>
          <w:rFonts w:ascii="Arial" w:hAnsi="Arial" w:cs="Arial"/>
          <w:i/>
          <w:sz w:val="21"/>
          <w:szCs w:val="21"/>
          <w:u w:val="single"/>
        </w:rPr>
        <w:t xml:space="preserve"> M</w:t>
      </w:r>
      <w:r w:rsidRPr="008A045B">
        <w:rPr>
          <w:rFonts w:ascii="Arial" w:hAnsi="Arial" w:cs="Arial"/>
          <w:i/>
          <w:sz w:val="21"/>
          <w:szCs w:val="21"/>
          <w:u w:val="single"/>
        </w:rPr>
        <w:t>atrix</w:t>
      </w:r>
      <w:r>
        <w:rPr>
          <w:rFonts w:ascii="Arial" w:hAnsi="Arial" w:cs="Arial"/>
          <w:sz w:val="21"/>
          <w:szCs w:val="21"/>
        </w:rPr>
        <w:t xml:space="preserve">, indicating </w:t>
      </w:r>
      <w:r w:rsidR="004215DA">
        <w:rPr>
          <w:rFonts w:ascii="Arial" w:hAnsi="Arial" w:cs="Arial"/>
          <w:sz w:val="21"/>
          <w:szCs w:val="21"/>
        </w:rPr>
        <w:t xml:space="preserve">what </w:t>
      </w:r>
      <w:r>
        <w:rPr>
          <w:rFonts w:ascii="Arial" w:hAnsi="Arial" w:cs="Arial"/>
          <w:sz w:val="21"/>
          <w:szCs w:val="21"/>
        </w:rPr>
        <w:t xml:space="preserve">country assistance in waste and pollution </w:t>
      </w:r>
      <w:r w:rsidR="004215DA">
        <w:rPr>
          <w:rFonts w:ascii="Arial" w:hAnsi="Arial" w:cs="Arial"/>
          <w:sz w:val="21"/>
          <w:szCs w:val="21"/>
        </w:rPr>
        <w:t>management, are currently being implemented. As well as future programmes or projects in the pipeline.</w:t>
      </w:r>
    </w:p>
    <w:p w:rsidR="00AE3E08" w:rsidRPr="00AE3E08" w:rsidRDefault="00AE3E08">
      <w:pPr>
        <w:rPr>
          <w:rFonts w:ascii="Arial" w:hAnsi="Arial" w:cs="Arial"/>
          <w:sz w:val="21"/>
          <w:szCs w:val="21"/>
        </w:rPr>
      </w:pPr>
      <w:r w:rsidRPr="00AE3E08">
        <w:rPr>
          <w:rFonts w:ascii="Arial" w:hAnsi="Arial" w:cs="Arial"/>
          <w:b/>
          <w:sz w:val="21"/>
          <w:szCs w:val="21"/>
        </w:rPr>
        <w:t>Instructions:</w:t>
      </w:r>
      <w:r w:rsidRPr="00AE3E08">
        <w:rPr>
          <w:rFonts w:ascii="Arial" w:hAnsi="Arial" w:cs="Arial"/>
          <w:sz w:val="21"/>
          <w:szCs w:val="21"/>
        </w:rPr>
        <w:t xml:space="preserve"> Please fill out the matrix below, according to the </w:t>
      </w:r>
      <w:r w:rsidR="00CF29C8">
        <w:rPr>
          <w:rFonts w:ascii="Arial" w:hAnsi="Arial" w:cs="Arial"/>
          <w:sz w:val="21"/>
          <w:szCs w:val="21"/>
        </w:rPr>
        <w:t>waste and pollution management assistance in what waste stream and strategic action areas, and indicate the recipient Pacific island country</w:t>
      </w:r>
      <w:r w:rsidR="004215DA">
        <w:rPr>
          <w:rFonts w:ascii="Arial" w:hAnsi="Arial" w:cs="Arial"/>
          <w:sz w:val="21"/>
          <w:szCs w:val="21"/>
        </w:rPr>
        <w:t xml:space="preserve"> or territory</w:t>
      </w:r>
      <w:r w:rsidR="00CF29C8">
        <w:rPr>
          <w:rFonts w:ascii="Arial" w:hAnsi="Arial" w:cs="Arial"/>
          <w:sz w:val="21"/>
          <w:szCs w:val="21"/>
        </w:rPr>
        <w:t xml:space="preserve">. </w:t>
      </w:r>
      <w:r w:rsidR="00E50575">
        <w:rPr>
          <w:rFonts w:ascii="Arial" w:hAnsi="Arial" w:cs="Arial"/>
          <w:sz w:val="21"/>
          <w:szCs w:val="21"/>
        </w:rPr>
        <w:t xml:space="preserve">Completed documents should be emailed to </w:t>
      </w:r>
      <w:r w:rsidR="009E7A9A">
        <w:rPr>
          <w:rFonts w:ascii="Arial" w:hAnsi="Arial" w:cs="Arial"/>
          <w:sz w:val="21"/>
          <w:szCs w:val="21"/>
        </w:rPr>
        <w:t>Ms</w:t>
      </w:r>
      <w:r w:rsidR="00CF29C8">
        <w:rPr>
          <w:rFonts w:ascii="Arial" w:hAnsi="Arial" w:cs="Arial"/>
          <w:sz w:val="21"/>
          <w:szCs w:val="21"/>
        </w:rPr>
        <w:t xml:space="preserve">. </w:t>
      </w:r>
      <w:r w:rsidR="009E7A9A">
        <w:rPr>
          <w:rFonts w:ascii="Arial" w:hAnsi="Arial" w:cs="Arial"/>
          <w:sz w:val="21"/>
          <w:szCs w:val="21"/>
        </w:rPr>
        <w:t xml:space="preserve">Amber Carvan </w:t>
      </w:r>
      <w:r w:rsidR="00E50575">
        <w:rPr>
          <w:rFonts w:ascii="Arial" w:hAnsi="Arial" w:cs="Arial"/>
          <w:sz w:val="21"/>
          <w:szCs w:val="21"/>
        </w:rPr>
        <w:t>(</w:t>
      </w:r>
      <w:hyperlink r:id="rId7" w:history="1">
        <w:r w:rsidR="009E7A9A" w:rsidRPr="003D3747">
          <w:rPr>
            <w:rStyle w:val="Hyperlink"/>
            <w:rFonts w:ascii="Arial" w:hAnsi="Arial" w:cs="Arial"/>
            <w:sz w:val="21"/>
            <w:szCs w:val="21"/>
          </w:rPr>
          <w:t>amberc@sprep.org</w:t>
        </w:r>
      </w:hyperlink>
      <w:r w:rsidR="00E50575">
        <w:rPr>
          <w:rFonts w:ascii="Arial" w:hAnsi="Arial" w:cs="Arial"/>
          <w:sz w:val="21"/>
          <w:szCs w:val="21"/>
        </w:rPr>
        <w:t xml:space="preserve">) by 5pm on Wednesday </w:t>
      </w:r>
      <w:r w:rsidR="00CF29C8">
        <w:rPr>
          <w:rFonts w:ascii="Arial" w:hAnsi="Arial" w:cs="Arial"/>
          <w:sz w:val="21"/>
          <w:szCs w:val="21"/>
        </w:rPr>
        <w:t>26 April</w:t>
      </w:r>
      <w:r w:rsidR="00E50575">
        <w:rPr>
          <w:rFonts w:ascii="Arial" w:hAnsi="Arial" w:cs="Arial"/>
          <w:sz w:val="21"/>
          <w:szCs w:val="21"/>
        </w:rPr>
        <w:t>, 2017.</w:t>
      </w: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2"/>
        <w:gridCol w:w="2094"/>
        <w:gridCol w:w="1548"/>
        <w:gridCol w:w="1548"/>
        <w:gridCol w:w="1547"/>
        <w:gridCol w:w="1548"/>
        <w:gridCol w:w="1540"/>
        <w:gridCol w:w="1533"/>
        <w:gridCol w:w="1546"/>
        <w:gridCol w:w="1542"/>
        <w:gridCol w:w="1551"/>
        <w:gridCol w:w="1577"/>
        <w:gridCol w:w="1405"/>
        <w:gridCol w:w="1418"/>
      </w:tblGrid>
      <w:tr w:rsidR="00AE3E08" w:rsidRPr="00AE3E08" w:rsidTr="002228CF">
        <w:trPr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</w:p>
        </w:tc>
        <w:tc>
          <w:tcPr>
            <w:tcW w:w="18303" w:type="dxa"/>
            <w:gridSpan w:val="12"/>
            <w:shd w:val="clear" w:color="auto" w:fill="548DD4" w:themeFill="text2" w:themeFillTint="99"/>
            <w:vAlign w:val="center"/>
          </w:tcPr>
          <w:p w:rsidR="00AE3E08" w:rsidRPr="00AE3E08" w:rsidRDefault="00AE3E08" w:rsidP="00AE3E0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E3E08">
              <w:rPr>
                <w:b/>
                <w:color w:val="FFFFFF" w:themeColor="background1"/>
                <w:szCs w:val="20"/>
              </w:rPr>
              <w:t>STRATEGIC ACTIONS</w:t>
            </w:r>
          </w:p>
        </w:tc>
      </w:tr>
      <w:tr w:rsidR="00AE3E08" w:rsidRPr="00AE3E08" w:rsidTr="00CF29C8">
        <w:trPr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Data collection and management</w:t>
            </w:r>
          </w:p>
        </w:tc>
        <w:tc>
          <w:tcPr>
            <w:tcW w:w="1548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Policy development</w:t>
            </w:r>
          </w:p>
        </w:tc>
        <w:tc>
          <w:tcPr>
            <w:tcW w:w="1547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Public Private Partnerships</w:t>
            </w:r>
          </w:p>
        </w:tc>
        <w:tc>
          <w:tcPr>
            <w:tcW w:w="1548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Occupational Health and Safety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Prevention and Reduction</w:t>
            </w:r>
          </w:p>
        </w:tc>
        <w:tc>
          <w:tcPr>
            <w:tcW w:w="1533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Resource recovery</w:t>
            </w:r>
          </w:p>
        </w:tc>
        <w:tc>
          <w:tcPr>
            <w:tcW w:w="1546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Site remediation / Stockpile reduction</w:t>
            </w:r>
          </w:p>
        </w:tc>
        <w:tc>
          <w:tcPr>
            <w:tcW w:w="1542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Sustainable financing</w:t>
            </w:r>
          </w:p>
        </w:tc>
        <w:tc>
          <w:tcPr>
            <w:tcW w:w="1551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Infrastructure development</w:t>
            </w:r>
          </w:p>
        </w:tc>
        <w:tc>
          <w:tcPr>
            <w:tcW w:w="1577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Human capacity</w:t>
            </w:r>
          </w:p>
        </w:tc>
        <w:tc>
          <w:tcPr>
            <w:tcW w:w="1405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Education and Awareness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AE3E08" w:rsidRPr="00AE3E08" w:rsidRDefault="00AE3E08" w:rsidP="00BF2667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Monitoring</w:t>
            </w:r>
          </w:p>
        </w:tc>
      </w:tr>
      <w:tr w:rsidR="008A045B" w:rsidRPr="00AE3E08" w:rsidTr="00CF29C8">
        <w:trPr>
          <w:jc w:val="center"/>
        </w:trPr>
        <w:tc>
          <w:tcPr>
            <w:tcW w:w="532" w:type="dxa"/>
            <w:vMerge w:val="restart"/>
            <w:tcBorders>
              <w:top w:val="nil"/>
            </w:tcBorders>
            <w:shd w:val="clear" w:color="auto" w:fill="404040" w:themeFill="text1" w:themeFillTint="BF"/>
            <w:textDirection w:val="btLr"/>
          </w:tcPr>
          <w:p w:rsidR="008A045B" w:rsidRPr="00AE3E08" w:rsidRDefault="008A045B" w:rsidP="00AE3E08">
            <w:pP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E3E08">
              <w:rPr>
                <w:b/>
                <w:color w:val="FFFFFF" w:themeColor="background1"/>
                <w:sz w:val="24"/>
                <w:szCs w:val="20"/>
              </w:rPr>
              <w:t>WASTE STREAMS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45B" w:rsidRPr="00357E76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Asbestos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228CF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Healthcare waste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228CF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E-waste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228CF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Disaster waste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228CF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Organic waste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228CF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Recyclables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96DC5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 w:rsidRPr="00AE3E08">
              <w:rPr>
                <w:b/>
                <w:sz w:val="20"/>
                <w:szCs w:val="20"/>
              </w:rPr>
              <w:t>Residual solid waste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96DC5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AE3E08" w:rsidRDefault="008A04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Liquid W</w:t>
            </w:r>
            <w:r w:rsidRPr="00AE3E08">
              <w:rPr>
                <w:b/>
                <w:sz w:val="20"/>
                <w:szCs w:val="20"/>
              </w:rPr>
              <w:t>aste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96DC5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Used Oil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0171A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296DC5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Ship sourced marine pollution including Oil and HNS Spills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 xml:space="preserve">Marine Litter and </w:t>
            </w:r>
            <w:proofErr w:type="spellStart"/>
            <w:r w:rsidRPr="008A045B">
              <w:rPr>
                <w:b/>
                <w:sz w:val="20"/>
                <w:szCs w:val="20"/>
              </w:rPr>
              <w:t>Microplasctics</w:t>
            </w:r>
            <w:proofErr w:type="spellEnd"/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Persistent Organic Pollutants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Mercury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Ozone Depleting Substances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>Air Pollution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  <w:tr w:rsidR="008A045B" w:rsidRPr="00AE3E08" w:rsidTr="00357E76">
        <w:trPr>
          <w:jc w:val="center"/>
        </w:trPr>
        <w:tc>
          <w:tcPr>
            <w:tcW w:w="532" w:type="dxa"/>
            <w:vMerge/>
            <w:shd w:val="clear" w:color="auto" w:fill="404040" w:themeFill="text1" w:themeFillTint="BF"/>
          </w:tcPr>
          <w:p w:rsidR="008A045B" w:rsidRDefault="008A045B" w:rsidP="00F2312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:rsidR="008A045B" w:rsidRPr="008A045B" w:rsidRDefault="008A045B" w:rsidP="00F2312E">
            <w:pPr>
              <w:rPr>
                <w:b/>
                <w:sz w:val="20"/>
                <w:szCs w:val="20"/>
              </w:rPr>
            </w:pPr>
            <w:r w:rsidRPr="008A045B">
              <w:rPr>
                <w:b/>
                <w:sz w:val="20"/>
                <w:szCs w:val="20"/>
              </w:rPr>
              <w:t xml:space="preserve">Industrial Chemicals </w:t>
            </w: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A045B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045B" w:rsidRPr="00AE3E08" w:rsidRDefault="008A045B" w:rsidP="00F231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575" w:rsidRDefault="00AE3E08" w:rsidP="00E50575">
      <w:pPr>
        <w:tabs>
          <w:tab w:val="left" w:pos="6210"/>
        </w:tabs>
        <w:spacing w:before="480"/>
        <w:rPr>
          <w:rFonts w:cs="Arial"/>
          <w:b/>
          <w:bCs/>
        </w:rPr>
      </w:pPr>
      <w:r>
        <w:rPr>
          <w:rFonts w:cs="Arial"/>
          <w:b/>
          <w:bCs/>
        </w:rPr>
        <w:t xml:space="preserve">Name: .............................................................................................    </w:t>
      </w:r>
      <w:r w:rsidR="00E50575">
        <w:rPr>
          <w:rFonts w:cs="Arial"/>
          <w:b/>
          <w:bCs/>
        </w:rPr>
        <w:t>Position</w:t>
      </w:r>
      <w:r>
        <w:rPr>
          <w:rFonts w:cs="Arial"/>
          <w:b/>
          <w:bCs/>
        </w:rPr>
        <w:t xml:space="preserve">: </w:t>
      </w:r>
      <w:r w:rsidR="00E50575">
        <w:rPr>
          <w:rFonts w:cs="Arial"/>
          <w:b/>
          <w:bCs/>
        </w:rPr>
        <w:t xml:space="preserve">.............................................................................................  </w:t>
      </w:r>
    </w:p>
    <w:p w:rsidR="00AE3E08" w:rsidRDefault="00AE3E08" w:rsidP="00E50575">
      <w:pPr>
        <w:tabs>
          <w:tab w:val="left" w:pos="6210"/>
        </w:tabs>
      </w:pPr>
      <w:r>
        <w:rPr>
          <w:rFonts w:cs="Arial"/>
          <w:b/>
          <w:bCs/>
        </w:rPr>
        <w:t>Signature</w:t>
      </w:r>
      <w:r w:rsidR="00E50575">
        <w:rPr>
          <w:rFonts w:cs="Arial"/>
          <w:b/>
          <w:bCs/>
        </w:rPr>
        <w:t xml:space="preserve">: ........................................................................................   </w:t>
      </w:r>
      <w:r>
        <w:rPr>
          <w:rFonts w:cs="Arial"/>
          <w:b/>
          <w:bCs/>
        </w:rPr>
        <w:t xml:space="preserve">Date: </w:t>
      </w:r>
      <w:r w:rsidR="00E50575">
        <w:rPr>
          <w:rFonts w:cs="Arial"/>
          <w:b/>
          <w:bCs/>
        </w:rPr>
        <w:t>…………………………………</w:t>
      </w:r>
    </w:p>
    <w:sectPr w:rsidR="00AE3E08" w:rsidSect="00AE3E08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FB" w:rsidRDefault="00CD15FB" w:rsidP="00AE3E08">
      <w:pPr>
        <w:spacing w:after="0" w:line="240" w:lineRule="auto"/>
      </w:pPr>
      <w:r>
        <w:separator/>
      </w:r>
    </w:p>
  </w:endnote>
  <w:endnote w:type="continuationSeparator" w:id="0">
    <w:p w:rsidR="00CD15FB" w:rsidRDefault="00CD15FB" w:rsidP="00AE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FB" w:rsidRDefault="00CD15FB" w:rsidP="00AE3E08">
      <w:pPr>
        <w:spacing w:after="0" w:line="240" w:lineRule="auto"/>
      </w:pPr>
      <w:r>
        <w:separator/>
      </w:r>
    </w:p>
  </w:footnote>
  <w:footnote w:type="continuationSeparator" w:id="0">
    <w:p w:rsidR="00CD15FB" w:rsidRDefault="00CD15FB" w:rsidP="00AE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08"/>
    <w:rsid w:val="002228CF"/>
    <w:rsid w:val="00296DC5"/>
    <w:rsid w:val="002C008D"/>
    <w:rsid w:val="002D2BB5"/>
    <w:rsid w:val="00357E76"/>
    <w:rsid w:val="004215DA"/>
    <w:rsid w:val="004B3D57"/>
    <w:rsid w:val="006D7EB5"/>
    <w:rsid w:val="00815281"/>
    <w:rsid w:val="00893BD9"/>
    <w:rsid w:val="008A045B"/>
    <w:rsid w:val="00913231"/>
    <w:rsid w:val="00973FE0"/>
    <w:rsid w:val="009E7A9A"/>
    <w:rsid w:val="00AC4A30"/>
    <w:rsid w:val="00AE3E08"/>
    <w:rsid w:val="00C37C53"/>
    <w:rsid w:val="00CD15FB"/>
    <w:rsid w:val="00CF29C8"/>
    <w:rsid w:val="00E50575"/>
    <w:rsid w:val="00F0171A"/>
    <w:rsid w:val="00F15C46"/>
    <w:rsid w:val="00F2312E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08"/>
  </w:style>
  <w:style w:type="paragraph" w:styleId="Footer">
    <w:name w:val="footer"/>
    <w:basedOn w:val="Normal"/>
    <w:link w:val="FooterChar"/>
    <w:uiPriority w:val="99"/>
    <w:unhideWhenUsed/>
    <w:rsid w:val="00AE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08"/>
  </w:style>
  <w:style w:type="character" w:styleId="Hyperlink">
    <w:name w:val="Hyperlink"/>
    <w:basedOn w:val="DefaultParagraphFont"/>
    <w:uiPriority w:val="99"/>
    <w:unhideWhenUsed/>
    <w:rsid w:val="00E505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08"/>
  </w:style>
  <w:style w:type="paragraph" w:styleId="Footer">
    <w:name w:val="footer"/>
    <w:basedOn w:val="Normal"/>
    <w:link w:val="FooterChar"/>
    <w:uiPriority w:val="99"/>
    <w:unhideWhenUsed/>
    <w:rsid w:val="00AE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08"/>
  </w:style>
  <w:style w:type="character" w:styleId="Hyperlink">
    <w:name w:val="Hyperlink"/>
    <w:basedOn w:val="DefaultParagraphFont"/>
    <w:uiPriority w:val="99"/>
    <w:unhideWhenUsed/>
    <w:rsid w:val="00E505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erc@spre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Carvan</dc:creator>
  <cp:lastModifiedBy>Registry (SPREP)</cp:lastModifiedBy>
  <cp:revision>2</cp:revision>
  <cp:lastPrinted>2017-02-08T21:28:00Z</cp:lastPrinted>
  <dcterms:created xsi:type="dcterms:W3CDTF">2017-04-11T02:28:00Z</dcterms:created>
  <dcterms:modified xsi:type="dcterms:W3CDTF">2017-04-11T02:28:00Z</dcterms:modified>
</cp:coreProperties>
</file>