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A426" w14:textId="52D71DA7" w:rsidR="006669C9" w:rsidRDefault="00CA4CDB" w:rsidP="003C0887">
      <w:pPr>
        <w:pStyle w:val="Header"/>
        <w:tabs>
          <w:tab w:val="clear" w:pos="4320"/>
          <w:tab w:val="clear" w:pos="8640"/>
        </w:tabs>
        <w:spacing w:before="120" w:after="0"/>
        <w:jc w:val="left"/>
        <w:rPr>
          <w:rFonts w:ascii="Arial" w:hAnsi="Arial" w:cs="Arial"/>
          <w:b/>
          <w:color w:val="548DD4" w:themeColor="text2" w:themeTint="99"/>
          <w:sz w:val="30"/>
          <w:szCs w:val="30"/>
        </w:rPr>
      </w:pPr>
      <w:r>
        <w:rPr>
          <w:rFonts w:ascii="Arial" w:hAnsi="Arial" w:cs="Arial"/>
          <w:b/>
          <w:noProof/>
          <w:color w:val="548DD4" w:themeColor="text2" w:themeTint="99"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21996FE1" wp14:editId="72495D88">
            <wp:simplePos x="0" y="0"/>
            <wp:positionH relativeFrom="column">
              <wp:posOffset>-1076325</wp:posOffset>
            </wp:positionH>
            <wp:positionV relativeFrom="paragraph">
              <wp:posOffset>-810260</wp:posOffset>
            </wp:positionV>
            <wp:extent cx="7878445" cy="1356360"/>
            <wp:effectExtent l="0" t="0" r="8255" b="0"/>
            <wp:wrapNone/>
            <wp:docPr id="2266976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97676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084"/>
                    <a:stretch/>
                  </pic:blipFill>
                  <pic:spPr bwMode="auto">
                    <a:xfrm>
                      <a:off x="0" y="0"/>
                      <a:ext cx="7878445" cy="135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DCBCCD" w14:textId="77777777" w:rsidR="006146B4" w:rsidRDefault="006146B4" w:rsidP="003C0887">
      <w:pPr>
        <w:pStyle w:val="Header"/>
        <w:tabs>
          <w:tab w:val="clear" w:pos="4320"/>
          <w:tab w:val="clear" w:pos="8640"/>
        </w:tabs>
        <w:spacing w:before="120" w:after="0"/>
        <w:jc w:val="left"/>
        <w:rPr>
          <w:rFonts w:ascii="Arial" w:hAnsi="Arial" w:cs="Arial"/>
          <w:b/>
          <w:color w:val="548DD4" w:themeColor="text2" w:themeTint="99"/>
          <w:sz w:val="30"/>
          <w:szCs w:val="30"/>
        </w:rPr>
      </w:pPr>
    </w:p>
    <w:p w14:paraId="11C56BF7" w14:textId="77777777" w:rsidR="006669C9" w:rsidRPr="00461E20" w:rsidRDefault="006669C9" w:rsidP="00461E20">
      <w:pPr>
        <w:pStyle w:val="Header"/>
        <w:tabs>
          <w:tab w:val="clear" w:pos="4320"/>
          <w:tab w:val="clear" w:pos="8640"/>
        </w:tabs>
        <w:spacing w:after="0"/>
        <w:jc w:val="left"/>
        <w:rPr>
          <w:rFonts w:ascii="Arial" w:hAnsi="Arial" w:cs="Arial"/>
          <w:b/>
          <w:color w:val="548DD4" w:themeColor="text2" w:themeTint="99"/>
          <w:sz w:val="16"/>
          <w:szCs w:val="16"/>
        </w:rPr>
      </w:pPr>
    </w:p>
    <w:p w14:paraId="348C2A62" w14:textId="081FCD40" w:rsidR="00257086" w:rsidRPr="006635B0" w:rsidRDefault="00257086" w:rsidP="00257086">
      <w:pPr>
        <w:jc w:val="center"/>
        <w:rPr>
          <w:sz w:val="12"/>
          <w:szCs w:val="12"/>
        </w:rPr>
      </w:pPr>
    </w:p>
    <w:p w14:paraId="02557481" w14:textId="31696D20" w:rsidR="00257086" w:rsidRPr="00257086" w:rsidRDefault="00257086" w:rsidP="00257086">
      <w:pPr>
        <w:jc w:val="center"/>
        <w:rPr>
          <w:rFonts w:ascii="Arial" w:hAnsi="Arial" w:cs="Arial"/>
          <w:b/>
          <w:bCs/>
        </w:rPr>
      </w:pPr>
      <w:r w:rsidRPr="00257086">
        <w:rPr>
          <w:rFonts w:ascii="Arial" w:hAnsi="Arial" w:cs="Arial"/>
          <w:b/>
          <w:bCs/>
        </w:rPr>
        <w:t>DOCUMENTATION LIST</w:t>
      </w:r>
    </w:p>
    <w:p w14:paraId="301E8678" w14:textId="77777777" w:rsidR="00257086" w:rsidRDefault="00257086"/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7376"/>
        <w:gridCol w:w="14"/>
        <w:gridCol w:w="2112"/>
      </w:tblGrid>
      <w:tr w:rsidR="009D40DD" w:rsidRPr="00CA4CDB" w14:paraId="6BD9B839" w14:textId="35A5584E" w:rsidTr="00E24EA2">
        <w:trPr>
          <w:tblHeader/>
        </w:trPr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68482A2A" w14:textId="77777777" w:rsidR="009D40DD" w:rsidRPr="00CA4CDB" w:rsidRDefault="009D40DD" w:rsidP="00EE3D77">
            <w:pPr>
              <w:spacing w:before="20" w:after="40"/>
              <w:ind w:left="-108" w:right="-108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Agenda</w:t>
            </w:r>
          </w:p>
        </w:tc>
        <w:tc>
          <w:tcPr>
            <w:tcW w:w="7376" w:type="dxa"/>
            <w:shd w:val="clear" w:color="auto" w:fill="D9D9D9" w:themeFill="background1" w:themeFillShade="D9"/>
            <w:vAlign w:val="center"/>
          </w:tcPr>
          <w:p w14:paraId="33866A3F" w14:textId="77777777" w:rsidR="009D40DD" w:rsidRPr="00CA4CDB" w:rsidRDefault="009D40DD" w:rsidP="00EE3D77">
            <w:pPr>
              <w:spacing w:before="20" w:after="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Title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04AD53EA" w14:textId="77777777" w:rsidR="009D40DD" w:rsidRPr="00CA4CDB" w:rsidRDefault="009D40DD" w:rsidP="00EE3D77">
            <w:pPr>
              <w:spacing w:before="20" w:after="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English</w:t>
            </w:r>
          </w:p>
        </w:tc>
      </w:tr>
      <w:tr w:rsidR="009D40DD" w:rsidRPr="00CA4CDB" w14:paraId="2163B7D5" w14:textId="6F04B85F" w:rsidTr="00E24EA2">
        <w:tc>
          <w:tcPr>
            <w:tcW w:w="705" w:type="dxa"/>
            <w:shd w:val="clear" w:color="auto" w:fill="FABF8F" w:themeFill="accent6" w:themeFillTint="99"/>
          </w:tcPr>
          <w:p w14:paraId="1A7D66A9" w14:textId="77777777" w:rsidR="009D40DD" w:rsidRPr="00CA4CDB" w:rsidRDefault="009D40DD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2:</w:t>
            </w:r>
          </w:p>
        </w:tc>
        <w:tc>
          <w:tcPr>
            <w:tcW w:w="7376" w:type="dxa"/>
            <w:shd w:val="clear" w:color="auto" w:fill="FABF8F" w:themeFill="accent6" w:themeFillTint="99"/>
          </w:tcPr>
          <w:p w14:paraId="57D80FED" w14:textId="005BBFE8" w:rsidR="009D40DD" w:rsidRPr="00CA4CDB" w:rsidRDefault="009D40DD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Appointment of Chair and Vice-Chair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</w:tcPr>
          <w:p w14:paraId="551F462E" w14:textId="718FFC3F" w:rsidR="00C65582" w:rsidRPr="00CA4CDB" w:rsidRDefault="009D40DD" w:rsidP="00452C0D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2</w:t>
            </w:r>
          </w:p>
        </w:tc>
      </w:tr>
      <w:tr w:rsidR="001B22D2" w:rsidRPr="00CA4CDB" w14:paraId="0E49B930" w14:textId="6D00281F" w:rsidTr="00E24EA2">
        <w:trPr>
          <w:trHeight w:val="463"/>
        </w:trPr>
        <w:tc>
          <w:tcPr>
            <w:tcW w:w="705" w:type="dxa"/>
            <w:shd w:val="clear" w:color="auto" w:fill="FABF8F" w:themeFill="accent6" w:themeFillTint="99"/>
          </w:tcPr>
          <w:p w14:paraId="09901FC7" w14:textId="77777777" w:rsidR="001B22D2" w:rsidRPr="00CA4CDB" w:rsidRDefault="001B22D2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3:</w:t>
            </w:r>
          </w:p>
        </w:tc>
        <w:tc>
          <w:tcPr>
            <w:tcW w:w="7376" w:type="dxa"/>
            <w:shd w:val="clear" w:color="auto" w:fill="FABF8F" w:themeFill="accent6" w:themeFillTint="99"/>
          </w:tcPr>
          <w:p w14:paraId="791FCE03" w14:textId="0A6EE98D" w:rsidR="001B22D2" w:rsidRPr="00CA4CDB" w:rsidRDefault="001B22D2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Adoption of Agenda and Working Procedures</w:t>
            </w:r>
          </w:p>
        </w:tc>
        <w:tc>
          <w:tcPr>
            <w:tcW w:w="2126" w:type="dxa"/>
            <w:gridSpan w:val="2"/>
          </w:tcPr>
          <w:p w14:paraId="1FB6822C" w14:textId="77777777" w:rsidR="001B22D2" w:rsidRPr="00CA4CDB" w:rsidRDefault="001B22D2" w:rsidP="009E05B5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3</w:t>
            </w:r>
          </w:p>
          <w:p w14:paraId="25E2FDA5" w14:textId="03961C00" w:rsidR="001B22D2" w:rsidRPr="00CA4CDB" w:rsidRDefault="001B22D2" w:rsidP="009E05B5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B22D2" w:rsidRPr="00CA4CDB" w14:paraId="427B157C" w14:textId="26564627" w:rsidTr="00E24EA2">
        <w:trPr>
          <w:trHeight w:val="463"/>
        </w:trPr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68014D6F" w14:textId="77777777" w:rsidR="001B22D2" w:rsidRPr="00CA4CDB" w:rsidRDefault="001B22D2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4:</w:t>
            </w:r>
          </w:p>
        </w:tc>
        <w:tc>
          <w:tcPr>
            <w:tcW w:w="7376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50481FB" w14:textId="24F7C19A" w:rsidR="001B22D2" w:rsidRPr="00CA4CDB" w:rsidRDefault="00896E66" w:rsidP="009E05B5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Action Taken on Matters Arising from the </w:t>
            </w:r>
            <w:r w:rsidR="00CA4CDB"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32</w:t>
            </w:r>
            <w:r w:rsidR="00CA4CDB"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nd</w:t>
            </w:r>
            <w:r w:rsidR="00CA4CDB"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  <w:r w:rsidR="00434518"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SPREP Meeting </w:t>
            </w:r>
          </w:p>
        </w:tc>
        <w:tc>
          <w:tcPr>
            <w:tcW w:w="2126" w:type="dxa"/>
            <w:gridSpan w:val="2"/>
          </w:tcPr>
          <w:p w14:paraId="7EBCE371" w14:textId="77777777" w:rsidR="001B22D2" w:rsidRPr="00CA4CDB" w:rsidRDefault="001B22D2" w:rsidP="009E05B5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4</w:t>
            </w:r>
          </w:p>
          <w:p w14:paraId="7863E817" w14:textId="02F39288" w:rsidR="001B22D2" w:rsidRPr="00CA4CDB" w:rsidRDefault="001B22D2" w:rsidP="009E05B5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4/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</w:tc>
      </w:tr>
      <w:tr w:rsidR="009D40DD" w:rsidRPr="00CA4CDB" w14:paraId="70AF2D86" w14:textId="0CF303DA" w:rsidTr="00E24EA2"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28FB632F" w14:textId="77777777" w:rsidR="009D40DD" w:rsidRPr="00CA4CDB" w:rsidRDefault="009D40DD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5:</w:t>
            </w:r>
          </w:p>
        </w:tc>
        <w:tc>
          <w:tcPr>
            <w:tcW w:w="950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14:paraId="61E78CE6" w14:textId="728B3709" w:rsidR="009D40DD" w:rsidRPr="00CA4CDB" w:rsidRDefault="00896E66" w:rsidP="00452C0D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Overview and Implementation of the SPREP Strategic Plan 2017 – 2026</w:t>
            </w:r>
          </w:p>
        </w:tc>
      </w:tr>
      <w:tr w:rsidR="001B22D2" w:rsidRPr="00CA4CDB" w14:paraId="1766DC8B" w14:textId="3F7DEBC7" w:rsidTr="00E24EA2">
        <w:trPr>
          <w:trHeight w:val="430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0B7255E9" w14:textId="77777777" w:rsidR="001B22D2" w:rsidRPr="00CA4CDB" w:rsidRDefault="001B22D2" w:rsidP="00BA48EE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5.1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6723C" w14:textId="7987CB7F" w:rsidR="001B22D2" w:rsidRPr="00CA4CDB" w:rsidRDefault="00CA4CDB" w:rsidP="00312BA0">
            <w:pPr>
              <w:spacing w:before="20" w:after="40"/>
              <w:rPr>
                <w:rFonts w:asciiTheme="minorHAnsi" w:hAnsiTheme="minorHAnsi" w:cstheme="minorHAnsi"/>
                <w:b/>
                <w:color w:val="0000FF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Presentation of the Annual Report for 2025 and Director General’s Overview of Progress since the 32</w:t>
            </w:r>
            <w:r w:rsidRPr="00CA4CDB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nd</w:t>
            </w: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 xml:space="preserve"> SPREP Meeting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F10FC" w14:textId="77777777" w:rsidR="001B22D2" w:rsidRPr="00CA4CDB" w:rsidRDefault="001B22D2" w:rsidP="00312BA0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5.1</w:t>
            </w:r>
          </w:p>
          <w:p w14:paraId="6D6A1A04" w14:textId="31FAF9E7" w:rsidR="001B22D2" w:rsidRPr="00CA4CDB" w:rsidRDefault="001B22D2" w:rsidP="00312BA0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34518" w:rsidRPr="00CA4CDB" w14:paraId="2E6C5954" w14:textId="77777777" w:rsidTr="00E24EA2">
        <w:trPr>
          <w:trHeight w:val="430"/>
        </w:trPr>
        <w:tc>
          <w:tcPr>
            <w:tcW w:w="7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4E69AA68" w14:textId="71FA9D18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5.2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BB3A50" w14:textId="5AF6209F" w:rsidR="00F1207B" w:rsidRPr="00CA4CDB" w:rsidRDefault="00CA4CDB" w:rsidP="00434518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2024-2025 Performance Implementation Plan (PIP4): High-level Summary Report and Update on Country and Territory Strategic Partnership Frameworks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690483" w14:textId="77777777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WP 5.2 </w:t>
            </w:r>
          </w:p>
          <w:p w14:paraId="3EDED14F" w14:textId="085A6F0C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5.2/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  <w:p w14:paraId="17B8FA70" w14:textId="24A061DA" w:rsidR="00434518" w:rsidRPr="00CA4CDB" w:rsidRDefault="00434518" w:rsidP="0004306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5.2/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.2</w:t>
            </w:r>
          </w:p>
        </w:tc>
      </w:tr>
      <w:tr w:rsidR="00434518" w:rsidRPr="00CA4CDB" w14:paraId="63C6ADC6" w14:textId="26DB538E" w:rsidTr="00E24EA2"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61F424F" w14:textId="77777777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6:</w:t>
            </w:r>
          </w:p>
        </w:tc>
        <w:tc>
          <w:tcPr>
            <w:tcW w:w="9502" w:type="dxa"/>
            <w:gridSpan w:val="3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EA23CE8" w14:textId="07FCDA7A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Governance, institutional arrangements, and mechanisms</w:t>
            </w:r>
          </w:p>
        </w:tc>
      </w:tr>
      <w:tr w:rsidR="00434518" w:rsidRPr="00CA4CDB" w14:paraId="0ED7B7BC" w14:textId="77777777" w:rsidTr="00E24EA2">
        <w:trPr>
          <w:trHeight w:val="262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265070" w14:textId="395E06D8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E899F3" w14:textId="7BC57A75" w:rsidR="00434518" w:rsidRPr="00CA4CDB" w:rsidRDefault="00434518" w:rsidP="004345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Audited Annual Accounts for 202</w:t>
            </w:r>
            <w:r w:rsidR="00CA4CDB"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4B4FB9" w14:textId="77777777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6.1</w:t>
            </w:r>
          </w:p>
          <w:p w14:paraId="1D66E123" w14:textId="5F2FEFFF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6.1/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</w:tc>
      </w:tr>
      <w:tr w:rsidR="00434518" w:rsidRPr="00CA4CDB" w14:paraId="0E6C004A" w14:textId="6296B2C2" w:rsidTr="00E24EA2">
        <w:trPr>
          <w:trHeight w:val="262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580567AF" w14:textId="1CE37B3B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678DD9" w14:textId="0ECD64EA" w:rsidR="00434518" w:rsidRPr="00CA4CDB" w:rsidRDefault="00434518" w:rsidP="004345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Audit Committee Report for 2024</w:t>
            </w:r>
            <w:r w:rsidR="00F1207B"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2A4594" w14:textId="1A75BCB8" w:rsidR="00367A5C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6.2</w:t>
            </w:r>
          </w:p>
        </w:tc>
      </w:tr>
      <w:tr w:rsidR="00434518" w:rsidRPr="00CA4CDB" w14:paraId="04A06AF6" w14:textId="2F335841" w:rsidTr="00E24EA2">
        <w:trPr>
          <w:trHeight w:val="301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6053D226" w14:textId="0D61A95C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6.3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B1EFA6" w14:textId="09EE5628" w:rsidR="00434518" w:rsidRPr="00CA4CDB" w:rsidRDefault="00434518" w:rsidP="00434518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Report on Members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hip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Contributions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637A8B" w14:textId="77777777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6.3</w:t>
            </w:r>
          </w:p>
          <w:p w14:paraId="3984946A" w14:textId="5D928E13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6.3/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  <w:p w14:paraId="1EBCA47D" w14:textId="1F8517B9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6.3/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Annex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.2</w:t>
            </w:r>
          </w:p>
        </w:tc>
      </w:tr>
      <w:tr w:rsidR="00434518" w:rsidRPr="00CA4CDB" w14:paraId="4A9B9DD7" w14:textId="77777777" w:rsidTr="00E24EA2">
        <w:trPr>
          <w:trHeight w:val="236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EA401F8" w14:textId="322AA991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6.4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EC64D4" w14:textId="18C2D3FE" w:rsidR="00434518" w:rsidRPr="00CA4CDB" w:rsidRDefault="00CA4CDB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Review of the updated Terms of Reference for the Executive Board and Membership arrangements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F64059" w14:textId="77777777" w:rsidR="00434518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6.4</w:t>
            </w:r>
          </w:p>
          <w:p w14:paraId="212EF72D" w14:textId="77777777" w:rsidR="00367A5C" w:rsidRDefault="00367A5C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WP 6.4/Annex.1</w:t>
            </w:r>
          </w:p>
          <w:p w14:paraId="23869EF5" w14:textId="77777777" w:rsidR="00367A5C" w:rsidRDefault="00367A5C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WP 6.4/Annex.2</w:t>
            </w:r>
          </w:p>
          <w:p w14:paraId="5A0AF089" w14:textId="77777777" w:rsidR="0042468D" w:rsidRDefault="0042468D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WP 6.4/Annex.3</w:t>
            </w:r>
          </w:p>
          <w:p w14:paraId="6BE4FBC5" w14:textId="5760723D" w:rsidR="0042468D" w:rsidRPr="00CA4CDB" w:rsidRDefault="0042468D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WP 6.4/Annex.4</w:t>
            </w:r>
          </w:p>
        </w:tc>
      </w:tr>
      <w:tr w:rsidR="00434518" w:rsidRPr="00CA4CDB" w14:paraId="0AEAB87E" w14:textId="6CA8FF70" w:rsidTr="00E24EA2">
        <w:trPr>
          <w:trHeight w:val="181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19340343" w14:textId="29B7F612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6.5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DD509" w14:textId="78460A73" w:rsidR="00434518" w:rsidRPr="00CA4CDB" w:rsidRDefault="00CA4CDB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Draft SPREP Strategic Plan 2027-2036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9A6E1D" w14:textId="77777777" w:rsidR="00434518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6.5</w:t>
            </w:r>
          </w:p>
          <w:p w14:paraId="7CF12FB7" w14:textId="6BDF30A0" w:rsidR="00367A5C" w:rsidRPr="00CA4CDB" w:rsidRDefault="00367A5C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WP 6.5/Annex.1</w:t>
            </w:r>
          </w:p>
        </w:tc>
      </w:tr>
      <w:tr w:rsidR="00434518" w:rsidRPr="00CA4CDB" w14:paraId="45FE7ABE" w14:textId="77777777" w:rsidTr="00E24EA2">
        <w:trPr>
          <w:trHeight w:val="181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B974988" w14:textId="1167D494" w:rsidR="00434518" w:rsidRPr="00CA4CDB" w:rsidRDefault="00434518" w:rsidP="00434518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6.6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CEB1A" w14:textId="3E463872" w:rsidR="00434518" w:rsidRPr="00CA4CDB" w:rsidRDefault="00CA4CDB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 xml:space="preserve">SPREP Director General’s Performance Assessment and Contract Renewal </w:t>
            </w:r>
            <w:r w:rsidRPr="00CA4CDB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(Closed Session)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0438A9" w14:textId="113171F0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6.6</w:t>
            </w:r>
          </w:p>
        </w:tc>
      </w:tr>
      <w:tr w:rsidR="00434518" w:rsidRPr="00CA4CDB" w14:paraId="73F6D216" w14:textId="742CACD7" w:rsidTr="00E24EA2">
        <w:tc>
          <w:tcPr>
            <w:tcW w:w="7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4E253D22" w14:textId="01237FBF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7: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F80A0A" w14:textId="653D95DA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Regional Cooperation and Strategic Partnerships</w:t>
            </w:r>
          </w:p>
        </w:tc>
      </w:tr>
      <w:tr w:rsidR="00434518" w:rsidRPr="00CA4CDB" w14:paraId="0C2358BB" w14:textId="36D0ED47" w:rsidTr="00E24EA2">
        <w:trPr>
          <w:trHeight w:val="262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5EE679DF" w14:textId="77777777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7.1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55D11C" w14:textId="388CDB7F" w:rsidR="00434518" w:rsidRPr="00CA4CDB" w:rsidRDefault="00434518" w:rsidP="00434518">
            <w:pPr>
              <w:spacing w:before="20" w:after="40"/>
              <w:ind w:left="37" w:hanging="37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Implementing the Pacific Leaders Agenda Update on the 2050 Strategy for the Blue Pacific Continent implementation:</w:t>
            </w:r>
            <w:r w:rsidR="00F1207B"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3143D413" w14:textId="77777777" w:rsidR="00434518" w:rsidRPr="00CA4CDB" w:rsidRDefault="00434518" w:rsidP="00434518">
            <w:pPr>
              <w:pStyle w:val="ListParagraph"/>
              <w:numPr>
                <w:ilvl w:val="0"/>
                <w:numId w:val="1"/>
              </w:numPr>
              <w:ind w:left="463" w:hanging="426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 xml:space="preserve">Review of the Regional Architecture </w:t>
            </w:r>
          </w:p>
          <w:p w14:paraId="7C174ED4" w14:textId="77777777" w:rsidR="00434518" w:rsidRPr="00CA4CDB" w:rsidRDefault="00434518" w:rsidP="00A53440">
            <w:pPr>
              <w:pStyle w:val="ListParagraph"/>
              <w:numPr>
                <w:ilvl w:val="0"/>
                <w:numId w:val="1"/>
              </w:numPr>
              <w:ind w:left="463" w:hanging="426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CROP Strategic Priorities and Coordination</w:t>
            </w:r>
          </w:p>
          <w:p w14:paraId="4ADE3ECC" w14:textId="11984A56" w:rsidR="00CA4CDB" w:rsidRPr="00CA4CDB" w:rsidRDefault="00CA4CDB" w:rsidP="00A53440">
            <w:pPr>
              <w:pStyle w:val="ListParagraph"/>
              <w:numPr>
                <w:ilvl w:val="0"/>
                <w:numId w:val="1"/>
              </w:numPr>
              <w:ind w:left="463" w:hanging="426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SIS priorities for SPREP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46438B" w14:textId="77777777" w:rsidR="00434518" w:rsidRPr="00CA4CDB" w:rsidRDefault="00434518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7.1</w:t>
            </w:r>
          </w:p>
          <w:p w14:paraId="2C809C17" w14:textId="411DFF27" w:rsidR="00CC5FD3" w:rsidRPr="00CA4CDB" w:rsidRDefault="00CC5FD3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8D337D3" w14:textId="77777777" w:rsidR="00434518" w:rsidRPr="00CA4CDB" w:rsidRDefault="00434518" w:rsidP="00111727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34518" w:rsidRPr="00CA4CDB" w14:paraId="6CA04E36" w14:textId="77777777" w:rsidTr="00CA4CDB">
        <w:trPr>
          <w:trHeight w:val="489"/>
        </w:trPr>
        <w:tc>
          <w:tcPr>
            <w:tcW w:w="7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BEA33" w14:textId="56B614AE" w:rsidR="00434518" w:rsidRPr="00CA4CDB" w:rsidRDefault="00434518" w:rsidP="00434518">
            <w:pPr>
              <w:tabs>
                <w:tab w:val="left" w:pos="33"/>
                <w:tab w:val="right" w:pos="1451"/>
              </w:tabs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7.2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46803" w14:textId="7C3838AE" w:rsidR="00434518" w:rsidRPr="00CA4CDB" w:rsidRDefault="00CA4CDB" w:rsidP="00CA4CDB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GEF Implementing Agency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1281FA" w14:textId="2638A55A" w:rsidR="00434518" w:rsidRPr="00CA4CDB" w:rsidRDefault="00434518" w:rsidP="00434518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7.2</w:t>
            </w:r>
          </w:p>
          <w:p w14:paraId="3AD731DA" w14:textId="06BDCBDC" w:rsidR="00A87FD5" w:rsidRPr="00CA4CDB" w:rsidRDefault="00434518" w:rsidP="00434518">
            <w:pPr>
              <w:spacing w:before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7.2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/Annex.1</w:t>
            </w:r>
          </w:p>
        </w:tc>
      </w:tr>
      <w:tr w:rsidR="00434518" w:rsidRPr="00CA4CDB" w14:paraId="36C4BD7D" w14:textId="18E26200" w:rsidTr="00E24EA2"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68D3B005" w14:textId="77777777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8:</w:t>
            </w:r>
          </w:p>
        </w:tc>
        <w:tc>
          <w:tcPr>
            <w:tcW w:w="9502" w:type="dxa"/>
            <w:gridSpan w:val="3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7DCBD85" w14:textId="2FB3F0D2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International and regional engagement</w:t>
            </w:r>
          </w:p>
        </w:tc>
      </w:tr>
      <w:tr w:rsidR="00434518" w:rsidRPr="00CA4CDB" w14:paraId="652E38A1" w14:textId="11D3DD07" w:rsidTr="00E24EA2"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5281440D" w14:textId="54AFED84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8.1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1C7CE4" w14:textId="709F313B" w:rsidR="00434518" w:rsidRPr="00CA4CDB" w:rsidRDefault="00CA4CDB" w:rsidP="0043451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Update on preparations for UNFCCC COP31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15894A" w14:textId="46BC28E7" w:rsidR="00434518" w:rsidRPr="00CA4CDB" w:rsidRDefault="00434518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8.1</w:t>
            </w:r>
          </w:p>
        </w:tc>
      </w:tr>
      <w:tr w:rsidR="00434518" w:rsidRPr="00CA4CDB" w14:paraId="7337D258" w14:textId="77777777" w:rsidTr="00E24EA2">
        <w:tc>
          <w:tcPr>
            <w:tcW w:w="7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BC5A96" w14:textId="2F9B2CE6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8.2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EBE85D" w14:textId="7C899558" w:rsidR="00434518" w:rsidRPr="00CA4CDB" w:rsidRDefault="00CA4CDB" w:rsidP="00A87FD5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Update on preparations for CBD COP17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D187F7" w14:textId="77777777" w:rsidR="00434518" w:rsidRPr="00CA4CDB" w:rsidRDefault="00434518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8.2</w:t>
            </w:r>
          </w:p>
          <w:p w14:paraId="4881A8C2" w14:textId="48A4D5BC" w:rsidR="00E37DDE" w:rsidRPr="00CA4CDB" w:rsidRDefault="00E37DDE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8.2/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Annex.1</w:t>
            </w:r>
          </w:p>
          <w:p w14:paraId="503DF048" w14:textId="2E4F2EB7" w:rsidR="00E37DDE" w:rsidRPr="00CA4CDB" w:rsidRDefault="00E37DDE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8.2/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Annex.2</w:t>
            </w:r>
          </w:p>
        </w:tc>
      </w:tr>
      <w:tr w:rsidR="00434518" w:rsidRPr="00CA4CDB" w14:paraId="429540FD" w14:textId="77777777" w:rsidTr="00E24EA2">
        <w:tc>
          <w:tcPr>
            <w:tcW w:w="7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B1803D" w14:textId="7C310516" w:rsidR="00434518" w:rsidRPr="00CA4CDB" w:rsidRDefault="00434518" w:rsidP="00434518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8.3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91ADCD" w14:textId="3EA2FC82" w:rsidR="00434518" w:rsidRPr="00CA4CDB" w:rsidRDefault="00CA4CDB" w:rsidP="00434518">
            <w:pPr>
              <w:rPr>
                <w:rFonts w:asciiTheme="minorHAnsi" w:hAnsiTheme="minorHAnsi" w:cstheme="minorHAnsi"/>
                <w:sz w:val="19"/>
                <w:szCs w:val="19"/>
                <w:lang w:val="en-AU"/>
              </w:rPr>
            </w:pPr>
            <w:r w:rsidRPr="00CA4CDB">
              <w:rPr>
                <w:rFonts w:asciiTheme="minorHAnsi" w:hAnsiTheme="minorHAnsi" w:cstheme="minorHAnsi"/>
                <w:sz w:val="21"/>
                <w:szCs w:val="21"/>
              </w:rPr>
              <w:t>Update on the outcomes of UNEA-7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C5853C" w14:textId="7EADF8AD" w:rsidR="00434518" w:rsidRPr="00CA4CDB" w:rsidRDefault="00434518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8.3</w:t>
            </w:r>
          </w:p>
        </w:tc>
      </w:tr>
      <w:tr w:rsidR="00434518" w:rsidRPr="00CA4CDB" w14:paraId="61A2F6B3" w14:textId="77777777" w:rsidTr="00E24EA2">
        <w:tc>
          <w:tcPr>
            <w:tcW w:w="7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5F83B38D" w14:textId="4B738205" w:rsidR="00434518" w:rsidRPr="00CA4CDB" w:rsidRDefault="00434518" w:rsidP="00434518">
            <w:pPr>
              <w:spacing w:before="20" w:after="4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9</w:t>
            </w:r>
            <w:r w:rsidR="00FB634E"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14:paraId="4BFDC608" w14:textId="04D49F42" w:rsidR="00434518" w:rsidRPr="00CA4CDB" w:rsidRDefault="00434518" w:rsidP="00434518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Strategic and substantive programmatic matters</w:t>
            </w:r>
          </w:p>
        </w:tc>
      </w:tr>
      <w:tr w:rsidR="00A53440" w:rsidRPr="00CA4CDB" w14:paraId="6D9A25DF" w14:textId="77777777" w:rsidTr="00E24EA2">
        <w:tc>
          <w:tcPr>
            <w:tcW w:w="705" w:type="dxa"/>
            <w:tcBorders>
              <w:top w:val="single" w:sz="4" w:space="0" w:color="000000" w:themeColor="text1"/>
            </w:tcBorders>
          </w:tcPr>
          <w:p w14:paraId="42297934" w14:textId="67F7864A" w:rsidR="00A53440" w:rsidRPr="00CA4CDB" w:rsidRDefault="00A53440" w:rsidP="00434518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9.1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B850D" w14:textId="713E7B72" w:rsidR="00A53440" w:rsidRPr="00CA4CDB" w:rsidRDefault="00A53440" w:rsidP="00434518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eastAsia="Calibri" w:hAnsiTheme="minorHAnsi" w:cstheme="minorHAnsi"/>
                <w:sz w:val="19"/>
                <w:szCs w:val="19"/>
                <w:lang w:val="en-AU"/>
              </w:rPr>
              <w:t>Regional Goal 1 Overview: Pacific people benefit from strengthened resilience to climate change</w:t>
            </w:r>
            <w:r w:rsidR="00F1207B" w:rsidRPr="00CA4CDB">
              <w:rPr>
                <w:rFonts w:asciiTheme="minorHAnsi" w:eastAsia="Calibri" w:hAnsiTheme="minorHAnsi" w:cstheme="minorHAnsi"/>
                <w:sz w:val="19"/>
                <w:szCs w:val="19"/>
                <w:lang w:val="en-A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CC104C" w14:textId="5E05AA5A" w:rsidR="00A53440" w:rsidRPr="00CA4CDB" w:rsidRDefault="00A53440" w:rsidP="00434518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9.1</w:t>
            </w:r>
          </w:p>
        </w:tc>
      </w:tr>
      <w:tr w:rsidR="00896E66" w:rsidRPr="00CA4CDB" w14:paraId="48032CFB" w14:textId="534A72BF" w:rsidTr="00E24EA2">
        <w:tc>
          <w:tcPr>
            <w:tcW w:w="705" w:type="dxa"/>
            <w:tcBorders>
              <w:top w:val="single" w:sz="4" w:space="0" w:color="D9D9D9" w:themeColor="background1" w:themeShade="D9"/>
            </w:tcBorders>
          </w:tcPr>
          <w:p w14:paraId="3A41A671" w14:textId="260C5D63" w:rsidR="00896E66" w:rsidRPr="00CA4CDB" w:rsidRDefault="00896E66" w:rsidP="00896E66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9.2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9B1612" w14:textId="1772788D" w:rsidR="00896E66" w:rsidRPr="00CA4CDB" w:rsidRDefault="00896E66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Regional Goal 2 Overview: Pacific people benefit from healthy and resilient island and ocean ecosystems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493A3A" w14:textId="77777777" w:rsidR="00896E66" w:rsidRPr="00CA4CDB" w:rsidRDefault="00896E66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9.2</w:t>
            </w:r>
          </w:p>
          <w:p w14:paraId="75954D17" w14:textId="05F0407D" w:rsidR="00CA4CDB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9.2/Annex.1</w:t>
            </w:r>
          </w:p>
        </w:tc>
      </w:tr>
      <w:tr w:rsidR="00A53440" w:rsidRPr="00CA4CDB" w14:paraId="50C14078" w14:textId="342322CF" w:rsidTr="00E24EA2">
        <w:trPr>
          <w:trHeight w:val="171"/>
        </w:trPr>
        <w:tc>
          <w:tcPr>
            <w:tcW w:w="705" w:type="dxa"/>
            <w:tcBorders>
              <w:top w:val="single" w:sz="4" w:space="0" w:color="D9D9D9" w:themeColor="background1" w:themeShade="D9"/>
            </w:tcBorders>
          </w:tcPr>
          <w:p w14:paraId="6CBA0EC0" w14:textId="7D9793D3" w:rsidR="00A53440" w:rsidRPr="00CA4CDB" w:rsidRDefault="00A53440" w:rsidP="00896E66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9.3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D4D968" w14:textId="776ED694" w:rsidR="00A53440" w:rsidRPr="00CA4CDB" w:rsidRDefault="00A53440" w:rsidP="00896E66">
            <w:pPr>
              <w:spacing w:before="20" w:after="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Regional Goal 3 Overview: Pacific people benefit from improved waste management and pollution control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0D330A" w14:textId="0ECC0CD5" w:rsidR="00A53440" w:rsidRPr="00CA4CDB" w:rsidRDefault="00A53440" w:rsidP="00896E66">
            <w:pPr>
              <w:spacing w:before="20" w:after="4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9.3</w:t>
            </w:r>
          </w:p>
        </w:tc>
      </w:tr>
      <w:tr w:rsidR="00896E66" w:rsidRPr="00CA4CDB" w14:paraId="77893CB5" w14:textId="1EA99B48" w:rsidTr="00CA4CDB">
        <w:tc>
          <w:tcPr>
            <w:tcW w:w="705" w:type="dxa"/>
            <w:tcBorders>
              <w:top w:val="single" w:sz="4" w:space="0" w:color="D9D9D9" w:themeColor="background1" w:themeShade="D9"/>
            </w:tcBorders>
          </w:tcPr>
          <w:p w14:paraId="4D5D630A" w14:textId="545E42F8" w:rsidR="00896E66" w:rsidRPr="00CA4CDB" w:rsidRDefault="00896E66" w:rsidP="00896E66">
            <w:pPr>
              <w:spacing w:before="20" w:after="40"/>
              <w:jc w:val="righ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9.4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AD54AC" w14:textId="262D359D" w:rsidR="00896E66" w:rsidRPr="00CA4CDB" w:rsidRDefault="00896E66" w:rsidP="00CA4CDB">
            <w:pPr>
              <w:spacing w:before="20" w:after="20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Regional Goal 4 Overview: Pacific people and their environment benefit from commitment to best practice of environmental governance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B37453" w14:textId="77777777" w:rsidR="00896E66" w:rsidRPr="00CA4CDB" w:rsidRDefault="00896E66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9.4</w:t>
            </w:r>
          </w:p>
          <w:p w14:paraId="7B003AC0" w14:textId="72D0939C" w:rsidR="00CA4CDB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96E66" w:rsidRPr="00CA4CDB" w14:paraId="77BD264E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3D59BC4" w14:textId="6E0C09AC" w:rsidR="00896E66" w:rsidRPr="00CA4CDB" w:rsidRDefault="00896E66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10: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D566DBF" w14:textId="58137D27" w:rsidR="00896E66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Consideration and approval of the 2027 Supplementary Work Programme and Budget</w:t>
            </w:r>
          </w:p>
        </w:tc>
      </w:tr>
      <w:tr w:rsidR="00896E66" w:rsidRPr="00CA4CDB" w14:paraId="5788A181" w14:textId="58B820DE" w:rsidTr="00E24EA2">
        <w:trPr>
          <w:trHeight w:val="212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D9D9D9" w:themeColor="background1" w:themeShade="D9"/>
            </w:tcBorders>
          </w:tcPr>
          <w:p w14:paraId="682FE73A" w14:textId="2E436582" w:rsidR="00896E66" w:rsidRPr="00CA4CDB" w:rsidRDefault="00896E66" w:rsidP="00896E66">
            <w:pPr>
              <w:spacing w:before="20" w:after="4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10.1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1D5B8C66" w14:textId="2B2B564B" w:rsidR="00896E66" w:rsidRPr="00CA4CDB" w:rsidRDefault="00CA4CDB" w:rsidP="00896E66">
            <w:pPr>
              <w:rPr>
                <w:rFonts w:asciiTheme="minorHAnsi" w:hAnsiTheme="minorHAnsi" w:cstheme="minorHAnsi"/>
                <w:b/>
                <w:bCs/>
                <w:color w:val="0000FF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color w:val="1F497D"/>
                <w:u w:color="1F497D"/>
                <w:lang w:val="en-US"/>
              </w:rPr>
              <w:t>2026-2027 Biennial Work Programme and Budget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right w:val="single" w:sz="4" w:space="0" w:color="auto"/>
            </w:tcBorders>
          </w:tcPr>
          <w:p w14:paraId="696127A7" w14:textId="77777777" w:rsidR="00896E66" w:rsidRPr="00CA4CDB" w:rsidRDefault="00896E66" w:rsidP="00896E66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10.1</w:t>
            </w:r>
          </w:p>
          <w:p w14:paraId="2AD1BEA4" w14:textId="48D88D15" w:rsidR="00F1207B" w:rsidRPr="00CA4CDB" w:rsidRDefault="00F1207B" w:rsidP="00896E66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WP 10.1/A</w:t>
            </w:r>
            <w:r w:rsidR="00CA4CDB" w:rsidRPr="00CA4CDB">
              <w:rPr>
                <w:rFonts w:asciiTheme="minorHAnsi" w:hAnsiTheme="minorHAnsi" w:cstheme="minorHAnsi"/>
                <w:sz w:val="19"/>
                <w:szCs w:val="19"/>
              </w:rPr>
              <w:t>nnex</w:t>
            </w:r>
            <w:r w:rsidRPr="00CA4CDB">
              <w:rPr>
                <w:rFonts w:asciiTheme="minorHAnsi" w:hAnsiTheme="minorHAnsi" w:cstheme="minorHAnsi"/>
                <w:sz w:val="19"/>
                <w:szCs w:val="19"/>
              </w:rPr>
              <w:t>.1</w:t>
            </w:r>
          </w:p>
        </w:tc>
      </w:tr>
      <w:tr w:rsidR="00A53440" w:rsidRPr="00CA4CDB" w14:paraId="60EA3405" w14:textId="43C3EED3" w:rsidTr="00E24EA2">
        <w:trPr>
          <w:trHeight w:val="195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</w:tcPr>
          <w:p w14:paraId="26A535ED" w14:textId="6320F2F5" w:rsidR="00A53440" w:rsidRPr="00CA4CDB" w:rsidRDefault="00A53440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11: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1B0061" w14:textId="56583B68" w:rsidR="00A53440" w:rsidRPr="00CA4CDB" w:rsidRDefault="00A53440" w:rsidP="00896E66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Items Proposed by Members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EADE0DB" w14:textId="77777777" w:rsidR="00A53440" w:rsidRPr="00CA4CDB" w:rsidRDefault="00A53440" w:rsidP="00A53440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41AC0" w:rsidRPr="00CA4CDB" w14:paraId="1F8192DB" w14:textId="77777777" w:rsidTr="00DE1655">
        <w:trPr>
          <w:trHeight w:val="195"/>
        </w:trPr>
        <w:tc>
          <w:tcPr>
            <w:tcW w:w="70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9831036" w14:textId="5EC7FA8E" w:rsidR="00D41AC0" w:rsidRPr="00CA4CDB" w:rsidRDefault="00D41AC0" w:rsidP="008943C4">
            <w:pPr>
              <w:spacing w:before="20" w:after="40"/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11.1</w:t>
            </w:r>
          </w:p>
        </w:tc>
        <w:tc>
          <w:tcPr>
            <w:tcW w:w="73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11B517" w14:textId="0B668498" w:rsidR="00D41AC0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TBC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665D2C83" w14:textId="3A1D3AB7" w:rsidR="00D41AC0" w:rsidRPr="00CA4CDB" w:rsidRDefault="00D41AC0" w:rsidP="00DE1655">
            <w:pPr>
              <w:spacing w:before="20" w:after="2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B634E" w:rsidRPr="00CA4CDB" w14:paraId="55393BD7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B3F1B05" w14:textId="3E0A4D72" w:rsidR="00FB634E" w:rsidRPr="00CA4CDB" w:rsidRDefault="00FB634E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2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EFC6EF4" w14:textId="150213CB" w:rsidR="00FB634E" w:rsidRPr="00CA4CDB" w:rsidRDefault="00FB634E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Other Business</w:t>
            </w:r>
          </w:p>
        </w:tc>
      </w:tr>
      <w:tr w:rsidR="009D433C" w:rsidRPr="00CA4CDB" w14:paraId="0DFF85A4" w14:textId="4B521257" w:rsidTr="00CA4CDB">
        <w:trPr>
          <w:trHeight w:val="368"/>
        </w:trPr>
        <w:tc>
          <w:tcPr>
            <w:tcW w:w="705" w:type="dxa"/>
            <w:tcBorders>
              <w:bottom w:val="single" w:sz="4" w:space="0" w:color="auto"/>
            </w:tcBorders>
          </w:tcPr>
          <w:p w14:paraId="4229325B" w14:textId="6841F39C" w:rsidR="009D433C" w:rsidRPr="00CA4CDB" w:rsidRDefault="009D433C" w:rsidP="00DE1655">
            <w:pPr>
              <w:ind w:right="-116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Cs/>
                <w:sz w:val="19"/>
                <w:szCs w:val="19"/>
              </w:rPr>
              <w:t>12.1</w:t>
            </w:r>
          </w:p>
        </w:tc>
        <w:tc>
          <w:tcPr>
            <w:tcW w:w="739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7DB117" w14:textId="403F5759" w:rsidR="009D433C" w:rsidRPr="00CA4CDB" w:rsidRDefault="00CA4CDB" w:rsidP="00A5323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TBC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269668E0" w14:textId="6AA738B4" w:rsidR="009D433C" w:rsidRPr="00CA4CDB" w:rsidRDefault="009D433C" w:rsidP="009D433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96E66" w:rsidRPr="00CA4CDB" w14:paraId="1E0FABDA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D77DC93" w14:textId="2BFAE4CB" w:rsidR="00896E66" w:rsidRPr="00CA4CDB" w:rsidRDefault="00896E66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3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3D4868" w14:textId="30A7E87E" w:rsidR="00896E66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Dates of the 33</w:t>
            </w: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rd</w:t>
            </w: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SPREP Meeting</w:t>
            </w:r>
          </w:p>
        </w:tc>
      </w:tr>
      <w:tr w:rsidR="00FB634E" w:rsidRPr="00CA4CDB" w14:paraId="6998CDA0" w14:textId="77777777" w:rsidTr="00E24EA2">
        <w:trPr>
          <w:trHeight w:val="195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04802D9" w14:textId="424559DE" w:rsidR="00FB634E" w:rsidRPr="00CA4CDB" w:rsidRDefault="00FB634E" w:rsidP="00896E66">
            <w:pPr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4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5A22CAD" w14:textId="767AD435" w:rsidR="00FB634E" w:rsidRPr="00CA4CDB" w:rsidRDefault="00CA4CDB" w:rsidP="00896E66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Adoption of the Outcomes of the 5</w:t>
            </w: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th</w:t>
            </w:r>
            <w:r w:rsidRPr="00CA4C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Executive Board Meeting</w:t>
            </w:r>
          </w:p>
        </w:tc>
      </w:tr>
      <w:tr w:rsidR="00896E66" w:rsidRPr="00CA4CDB" w14:paraId="6DE56AAF" w14:textId="683D9795" w:rsidTr="00E24EA2">
        <w:trPr>
          <w:trHeight w:val="249"/>
        </w:trPr>
        <w:tc>
          <w:tcPr>
            <w:tcW w:w="705" w:type="dxa"/>
            <w:shd w:val="clear" w:color="auto" w:fill="FABF8F" w:themeFill="accent6" w:themeFillTint="99"/>
          </w:tcPr>
          <w:p w14:paraId="78FF4301" w14:textId="72A514CC" w:rsidR="00896E66" w:rsidRPr="00CA4CDB" w:rsidRDefault="00896E66" w:rsidP="00896E66">
            <w:pPr>
              <w:tabs>
                <w:tab w:val="left" w:pos="2410"/>
              </w:tabs>
              <w:spacing w:before="20" w:after="4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  <w:r w:rsidR="00DB50B2"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5</w:t>
            </w:r>
            <w:r w:rsidRPr="00CA4CDB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9502" w:type="dxa"/>
            <w:gridSpan w:val="3"/>
            <w:shd w:val="clear" w:color="auto" w:fill="FABF8F" w:themeFill="accent6" w:themeFillTint="99"/>
          </w:tcPr>
          <w:p w14:paraId="25B01311" w14:textId="15571BBB" w:rsidR="00896E66" w:rsidRPr="00CA4CDB" w:rsidRDefault="00CA4CDB" w:rsidP="00896E66">
            <w:pPr>
              <w:spacing w:before="20" w:after="20"/>
              <w:ind w:left="709" w:hanging="709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A4CDB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Closing</w:t>
            </w:r>
          </w:p>
        </w:tc>
      </w:tr>
    </w:tbl>
    <w:p w14:paraId="0FBB14BC" w14:textId="07C6C071" w:rsidR="00B6384F" w:rsidRDefault="00B6384F" w:rsidP="00A97059">
      <w:pPr>
        <w:rPr>
          <w:rFonts w:ascii="Arial" w:hAnsi="Arial" w:cs="Arial"/>
          <w:sz w:val="24"/>
        </w:rPr>
      </w:pPr>
    </w:p>
    <w:p w14:paraId="6ED169F1" w14:textId="72DA39E9" w:rsidR="001B6895" w:rsidRDefault="001B6895" w:rsidP="00A97059">
      <w:pPr>
        <w:rPr>
          <w:rFonts w:ascii="Arial" w:hAnsi="Arial" w:cs="Arial"/>
          <w:sz w:val="24"/>
        </w:rPr>
      </w:pPr>
    </w:p>
    <w:p w14:paraId="38EC871F" w14:textId="77777777" w:rsidR="001B6895" w:rsidRPr="00105129" w:rsidRDefault="001B6895" w:rsidP="00A97059">
      <w:pPr>
        <w:rPr>
          <w:rFonts w:ascii="Arial" w:hAnsi="Arial" w:cs="Arial"/>
          <w:sz w:val="24"/>
        </w:rPr>
      </w:pPr>
    </w:p>
    <w:sectPr w:rsidR="001B6895" w:rsidRPr="00105129" w:rsidSect="006635B0">
      <w:headerReference w:type="default" r:id="rId8"/>
      <w:pgSz w:w="11907" w:h="16840"/>
      <w:pgMar w:top="1276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CB93" w14:textId="77777777" w:rsidR="00DA58B6" w:rsidRDefault="00DA58B6">
      <w:r>
        <w:separator/>
      </w:r>
    </w:p>
  </w:endnote>
  <w:endnote w:type="continuationSeparator" w:id="0">
    <w:p w14:paraId="4EFF6391" w14:textId="77777777" w:rsidR="00DA58B6" w:rsidRDefault="00DA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5966" w14:textId="77777777" w:rsidR="00DA58B6" w:rsidRDefault="00DA58B6">
      <w:r>
        <w:separator/>
      </w:r>
    </w:p>
  </w:footnote>
  <w:footnote w:type="continuationSeparator" w:id="0">
    <w:p w14:paraId="7819EBFF" w14:textId="77777777" w:rsidR="00DA58B6" w:rsidRDefault="00DA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D97D" w14:textId="24B61540" w:rsidR="0046281D" w:rsidRDefault="005B1C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9EF2B" wp14:editId="13CB49B7">
              <wp:simplePos x="0" y="0"/>
              <wp:positionH relativeFrom="column">
                <wp:posOffset>3840480</wp:posOffset>
              </wp:positionH>
              <wp:positionV relativeFrom="paragraph">
                <wp:posOffset>-137160</wp:posOffset>
              </wp:positionV>
              <wp:extent cx="2539996" cy="382901"/>
              <wp:effectExtent l="0" t="0" r="0" b="0"/>
              <wp:wrapNone/>
              <wp:docPr id="4894586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9996" cy="3829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B211ABD" w14:textId="77777777" w:rsidR="005B1C40" w:rsidRPr="00967FAB" w:rsidRDefault="005B1C40" w:rsidP="005B1C40">
                          <w:pPr>
                            <w:jc w:val="right"/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</w:pPr>
                          <w:r w:rsidRPr="00967FAB"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  <w:t>32SM/Officials/</w:t>
                          </w:r>
                          <w:r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  <w:t>Documentation List/rev.3</w:t>
                          </w:r>
                        </w:p>
                        <w:p w14:paraId="100B833B" w14:textId="77777777" w:rsidR="005B1C40" w:rsidRPr="00967FAB" w:rsidRDefault="005B1C40" w:rsidP="005B1C40">
                          <w:pPr>
                            <w:jc w:val="right"/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</w:pPr>
                          <w:r w:rsidRPr="00967FAB"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67FAB"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67FAB"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67FAB">
                            <w:rPr>
                              <w:rFonts w:ascii="Aptos" w:hAnsi="Aptos" w:cs="Arial"/>
                              <w:b/>
                              <w:bCs/>
                              <w:color w:val="4F6228" w:themeColor="accent3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ptos" w:hAnsi="Aptos" w:cs="Arial"/>
                              <w:b/>
                              <w:bCs/>
                              <w:noProof/>
                              <w:color w:val="4F6228" w:themeColor="accent3" w:themeShade="80"/>
                              <w:sz w:val="18"/>
                              <w:szCs w:val="18"/>
                            </w:rPr>
                            <w:t>1</w:t>
                          </w:r>
                          <w:r w:rsidRPr="00967FAB">
                            <w:rPr>
                              <w:rFonts w:ascii="Aptos" w:hAnsi="Aptos" w:cs="Arial"/>
                              <w:b/>
                              <w:bCs/>
                              <w:noProof/>
                              <w:color w:val="4F6228" w:themeColor="accent3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9EF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pt;margin-top:-10.8pt;width:200pt;height:3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" filled="f" stroked="f" strokeweight="1pt">
              <v:stroke miterlimit="4"/>
              <v:textbox style="mso-fit-shape-to-text:t" inset="1.2699mm,1.2699mm,1.2699mm,1.2699mm">
                <w:txbxContent>
                  <w:p w14:paraId="0B211ABD" w14:textId="77777777" w:rsidR="005B1C40" w:rsidRPr="00967FAB" w:rsidRDefault="005B1C40" w:rsidP="005B1C40">
                    <w:pPr>
                      <w:jc w:val="right"/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</w:pPr>
                    <w:r w:rsidRPr="00967FAB"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  <w:t>32SM/Officials/</w:t>
                    </w:r>
                    <w:r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  <w:t>Documentation List/rev.3</w:t>
                    </w:r>
                  </w:p>
                  <w:p w14:paraId="100B833B" w14:textId="77777777" w:rsidR="005B1C40" w:rsidRPr="00967FAB" w:rsidRDefault="005B1C40" w:rsidP="005B1C40">
                    <w:pPr>
                      <w:jc w:val="right"/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</w:pPr>
                    <w:r w:rsidRPr="00967FAB"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  <w:t xml:space="preserve">Page </w:t>
                    </w:r>
                    <w:r w:rsidRPr="00967FAB"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  <w:fldChar w:fldCharType="begin"/>
                    </w:r>
                    <w:r w:rsidRPr="00967FAB"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67FAB">
                      <w:rPr>
                        <w:rFonts w:ascii="Aptos" w:hAnsi="Aptos" w:cs="Arial"/>
                        <w:b/>
                        <w:bCs/>
                        <w:color w:val="4F6228" w:themeColor="accent3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ptos" w:hAnsi="Aptos" w:cs="Arial"/>
                        <w:b/>
                        <w:bCs/>
                        <w:noProof/>
                        <w:color w:val="4F6228" w:themeColor="accent3" w:themeShade="80"/>
                        <w:sz w:val="18"/>
                        <w:szCs w:val="18"/>
                      </w:rPr>
                      <w:t>1</w:t>
                    </w:r>
                    <w:r w:rsidRPr="00967FAB">
                      <w:rPr>
                        <w:rFonts w:ascii="Aptos" w:hAnsi="Aptos" w:cs="Arial"/>
                        <w:b/>
                        <w:bCs/>
                        <w:noProof/>
                        <w:color w:val="4F6228" w:themeColor="accent3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72C"/>
    <w:multiLevelType w:val="hybridMultilevel"/>
    <w:tmpl w:val="1E2E1172"/>
    <w:lvl w:ilvl="0" w:tplc="0C090017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" w15:restartNumberingAfterBreak="0">
    <w:nsid w:val="362D09A4"/>
    <w:multiLevelType w:val="hybridMultilevel"/>
    <w:tmpl w:val="1E1A25AC"/>
    <w:lvl w:ilvl="0" w:tplc="0C090017">
      <w:start w:val="1"/>
      <w:numFmt w:val="lowerLetter"/>
      <w:lvlText w:val="%1)"/>
      <w:lvlJc w:val="left"/>
      <w:pPr>
        <w:ind w:left="28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 w16cid:durableId="193886749">
    <w:abstractNumId w:val="1"/>
  </w:num>
  <w:num w:numId="2" w16cid:durableId="14842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059"/>
    <w:rsid w:val="00001F0A"/>
    <w:rsid w:val="0000596E"/>
    <w:rsid w:val="000242AD"/>
    <w:rsid w:val="00031913"/>
    <w:rsid w:val="00034263"/>
    <w:rsid w:val="00043067"/>
    <w:rsid w:val="0004674A"/>
    <w:rsid w:val="0004750C"/>
    <w:rsid w:val="00050C0E"/>
    <w:rsid w:val="00053575"/>
    <w:rsid w:val="00057783"/>
    <w:rsid w:val="0007044F"/>
    <w:rsid w:val="00073EDA"/>
    <w:rsid w:val="000747E3"/>
    <w:rsid w:val="00075892"/>
    <w:rsid w:val="0009426E"/>
    <w:rsid w:val="000A4542"/>
    <w:rsid w:val="000A4B54"/>
    <w:rsid w:val="000B13B2"/>
    <w:rsid w:val="000B14F9"/>
    <w:rsid w:val="000C446B"/>
    <w:rsid w:val="000C5CF1"/>
    <w:rsid w:val="000D1868"/>
    <w:rsid w:val="000E0EE5"/>
    <w:rsid w:val="000E1566"/>
    <w:rsid w:val="000E179F"/>
    <w:rsid w:val="000F0AD0"/>
    <w:rsid w:val="000F191B"/>
    <w:rsid w:val="000F2E98"/>
    <w:rsid w:val="000F34E0"/>
    <w:rsid w:val="00105129"/>
    <w:rsid w:val="00111727"/>
    <w:rsid w:val="00114BCE"/>
    <w:rsid w:val="0012115A"/>
    <w:rsid w:val="0012155F"/>
    <w:rsid w:val="00126E69"/>
    <w:rsid w:val="00130C91"/>
    <w:rsid w:val="00134BCF"/>
    <w:rsid w:val="00137EB0"/>
    <w:rsid w:val="00146787"/>
    <w:rsid w:val="00147A48"/>
    <w:rsid w:val="001549F2"/>
    <w:rsid w:val="00163CBB"/>
    <w:rsid w:val="00173F00"/>
    <w:rsid w:val="00186787"/>
    <w:rsid w:val="00191DD8"/>
    <w:rsid w:val="001A53B3"/>
    <w:rsid w:val="001B03FA"/>
    <w:rsid w:val="001B22D2"/>
    <w:rsid w:val="001B6895"/>
    <w:rsid w:val="001C25D1"/>
    <w:rsid w:val="001C5BA5"/>
    <w:rsid w:val="001D0AA2"/>
    <w:rsid w:val="001E107B"/>
    <w:rsid w:val="001E3D8C"/>
    <w:rsid w:val="001F0019"/>
    <w:rsid w:val="001F2113"/>
    <w:rsid w:val="001F2924"/>
    <w:rsid w:val="002021ED"/>
    <w:rsid w:val="002027F1"/>
    <w:rsid w:val="00203E0E"/>
    <w:rsid w:val="002055DD"/>
    <w:rsid w:val="00206F37"/>
    <w:rsid w:val="00212556"/>
    <w:rsid w:val="0021682B"/>
    <w:rsid w:val="00222284"/>
    <w:rsid w:val="0022392E"/>
    <w:rsid w:val="00235AF1"/>
    <w:rsid w:val="0024324A"/>
    <w:rsid w:val="00255C10"/>
    <w:rsid w:val="00257086"/>
    <w:rsid w:val="00264689"/>
    <w:rsid w:val="00266780"/>
    <w:rsid w:val="0027475D"/>
    <w:rsid w:val="00276E47"/>
    <w:rsid w:val="002807E7"/>
    <w:rsid w:val="00283759"/>
    <w:rsid w:val="002913A0"/>
    <w:rsid w:val="00293346"/>
    <w:rsid w:val="00295208"/>
    <w:rsid w:val="002961C3"/>
    <w:rsid w:val="002A38A2"/>
    <w:rsid w:val="002A4EC6"/>
    <w:rsid w:val="002A75A1"/>
    <w:rsid w:val="002B1DE1"/>
    <w:rsid w:val="002B3C21"/>
    <w:rsid w:val="002D642B"/>
    <w:rsid w:val="002D79E3"/>
    <w:rsid w:val="002F1F28"/>
    <w:rsid w:val="0030122B"/>
    <w:rsid w:val="00301CFE"/>
    <w:rsid w:val="00302B18"/>
    <w:rsid w:val="003055F5"/>
    <w:rsid w:val="00312BA0"/>
    <w:rsid w:val="003161D7"/>
    <w:rsid w:val="0032024D"/>
    <w:rsid w:val="003250F4"/>
    <w:rsid w:val="00327896"/>
    <w:rsid w:val="00336100"/>
    <w:rsid w:val="00336D51"/>
    <w:rsid w:val="0035185D"/>
    <w:rsid w:val="00367A5C"/>
    <w:rsid w:val="003766B7"/>
    <w:rsid w:val="00381BA1"/>
    <w:rsid w:val="00383D7F"/>
    <w:rsid w:val="00384E69"/>
    <w:rsid w:val="00386823"/>
    <w:rsid w:val="003975E4"/>
    <w:rsid w:val="003A7FB9"/>
    <w:rsid w:val="003C0887"/>
    <w:rsid w:val="003D6E48"/>
    <w:rsid w:val="003E1128"/>
    <w:rsid w:val="003F0FC1"/>
    <w:rsid w:val="0042468D"/>
    <w:rsid w:val="0043152E"/>
    <w:rsid w:val="00433AC8"/>
    <w:rsid w:val="00434518"/>
    <w:rsid w:val="00440799"/>
    <w:rsid w:val="00446004"/>
    <w:rsid w:val="0044667C"/>
    <w:rsid w:val="00447EAA"/>
    <w:rsid w:val="004521A0"/>
    <w:rsid w:val="00452C0D"/>
    <w:rsid w:val="00461E20"/>
    <w:rsid w:val="00461F55"/>
    <w:rsid w:val="00462416"/>
    <w:rsid w:val="0046281D"/>
    <w:rsid w:val="0046512B"/>
    <w:rsid w:val="00467935"/>
    <w:rsid w:val="00476088"/>
    <w:rsid w:val="00480FDB"/>
    <w:rsid w:val="00481CA7"/>
    <w:rsid w:val="004870FE"/>
    <w:rsid w:val="00487D7E"/>
    <w:rsid w:val="00492905"/>
    <w:rsid w:val="004948BE"/>
    <w:rsid w:val="004968FF"/>
    <w:rsid w:val="004A1936"/>
    <w:rsid w:val="004A47F7"/>
    <w:rsid w:val="004B1AC0"/>
    <w:rsid w:val="004B2162"/>
    <w:rsid w:val="004B45D8"/>
    <w:rsid w:val="004C0B0E"/>
    <w:rsid w:val="004C1E4D"/>
    <w:rsid w:val="004C3594"/>
    <w:rsid w:val="004C3A3A"/>
    <w:rsid w:val="004C76EC"/>
    <w:rsid w:val="004E5631"/>
    <w:rsid w:val="004E5F31"/>
    <w:rsid w:val="004F7B6B"/>
    <w:rsid w:val="005003CE"/>
    <w:rsid w:val="0050104E"/>
    <w:rsid w:val="0050467F"/>
    <w:rsid w:val="00511340"/>
    <w:rsid w:val="005139A3"/>
    <w:rsid w:val="00523972"/>
    <w:rsid w:val="00530CC6"/>
    <w:rsid w:val="00531270"/>
    <w:rsid w:val="00541C65"/>
    <w:rsid w:val="00544362"/>
    <w:rsid w:val="005443C9"/>
    <w:rsid w:val="00550645"/>
    <w:rsid w:val="005536CE"/>
    <w:rsid w:val="00556519"/>
    <w:rsid w:val="00561E42"/>
    <w:rsid w:val="00564675"/>
    <w:rsid w:val="00574F83"/>
    <w:rsid w:val="00590846"/>
    <w:rsid w:val="005956CF"/>
    <w:rsid w:val="005B1C40"/>
    <w:rsid w:val="005C2435"/>
    <w:rsid w:val="005D6333"/>
    <w:rsid w:val="005E39E3"/>
    <w:rsid w:val="005F550F"/>
    <w:rsid w:val="00600454"/>
    <w:rsid w:val="00604083"/>
    <w:rsid w:val="006048E4"/>
    <w:rsid w:val="00611BC0"/>
    <w:rsid w:val="00612D46"/>
    <w:rsid w:val="006140D5"/>
    <w:rsid w:val="006146B4"/>
    <w:rsid w:val="00633D62"/>
    <w:rsid w:val="006447DF"/>
    <w:rsid w:val="00645872"/>
    <w:rsid w:val="00645FBE"/>
    <w:rsid w:val="006537CD"/>
    <w:rsid w:val="0065576E"/>
    <w:rsid w:val="006635B0"/>
    <w:rsid w:val="006669C9"/>
    <w:rsid w:val="0068033D"/>
    <w:rsid w:val="00691E5E"/>
    <w:rsid w:val="00693687"/>
    <w:rsid w:val="006A239C"/>
    <w:rsid w:val="006A5013"/>
    <w:rsid w:val="006A7611"/>
    <w:rsid w:val="006B50F7"/>
    <w:rsid w:val="006B72E4"/>
    <w:rsid w:val="006E1AFD"/>
    <w:rsid w:val="006E49B1"/>
    <w:rsid w:val="006E6750"/>
    <w:rsid w:val="006F2138"/>
    <w:rsid w:val="006F483E"/>
    <w:rsid w:val="006F7600"/>
    <w:rsid w:val="00710D85"/>
    <w:rsid w:val="00715855"/>
    <w:rsid w:val="00720A7B"/>
    <w:rsid w:val="0072668B"/>
    <w:rsid w:val="0073426C"/>
    <w:rsid w:val="00735518"/>
    <w:rsid w:val="00753675"/>
    <w:rsid w:val="0076296F"/>
    <w:rsid w:val="00763ECE"/>
    <w:rsid w:val="007771B5"/>
    <w:rsid w:val="0078028A"/>
    <w:rsid w:val="007831C8"/>
    <w:rsid w:val="007914DB"/>
    <w:rsid w:val="007917A3"/>
    <w:rsid w:val="007A13C0"/>
    <w:rsid w:val="007B1EA5"/>
    <w:rsid w:val="007C227B"/>
    <w:rsid w:val="007C22E1"/>
    <w:rsid w:val="007C6398"/>
    <w:rsid w:val="007E6806"/>
    <w:rsid w:val="007F73A6"/>
    <w:rsid w:val="008014C9"/>
    <w:rsid w:val="00802AD0"/>
    <w:rsid w:val="00810B25"/>
    <w:rsid w:val="00824480"/>
    <w:rsid w:val="00825D7D"/>
    <w:rsid w:val="00826C16"/>
    <w:rsid w:val="00850972"/>
    <w:rsid w:val="008533B1"/>
    <w:rsid w:val="00862CE3"/>
    <w:rsid w:val="0087526A"/>
    <w:rsid w:val="00883796"/>
    <w:rsid w:val="008866A6"/>
    <w:rsid w:val="00892ADC"/>
    <w:rsid w:val="008943C4"/>
    <w:rsid w:val="0089550A"/>
    <w:rsid w:val="00896E66"/>
    <w:rsid w:val="00897189"/>
    <w:rsid w:val="008A23F0"/>
    <w:rsid w:val="008D3306"/>
    <w:rsid w:val="008D61DF"/>
    <w:rsid w:val="008D70A9"/>
    <w:rsid w:val="008E0DBD"/>
    <w:rsid w:val="008E4A49"/>
    <w:rsid w:val="008F1247"/>
    <w:rsid w:val="00900D53"/>
    <w:rsid w:val="00901C7D"/>
    <w:rsid w:val="00907692"/>
    <w:rsid w:val="00915C3E"/>
    <w:rsid w:val="009169F9"/>
    <w:rsid w:val="00920FD8"/>
    <w:rsid w:val="009214A7"/>
    <w:rsid w:val="00924D43"/>
    <w:rsid w:val="00931E70"/>
    <w:rsid w:val="009424A4"/>
    <w:rsid w:val="00966D64"/>
    <w:rsid w:val="00973D6F"/>
    <w:rsid w:val="00980766"/>
    <w:rsid w:val="00980A05"/>
    <w:rsid w:val="00981050"/>
    <w:rsid w:val="00987D1F"/>
    <w:rsid w:val="00991C12"/>
    <w:rsid w:val="00994A3F"/>
    <w:rsid w:val="009B09EF"/>
    <w:rsid w:val="009B1609"/>
    <w:rsid w:val="009B639C"/>
    <w:rsid w:val="009C7791"/>
    <w:rsid w:val="009D40DD"/>
    <w:rsid w:val="009D433C"/>
    <w:rsid w:val="009D69E1"/>
    <w:rsid w:val="009E02CC"/>
    <w:rsid w:val="009E05B5"/>
    <w:rsid w:val="00A0046E"/>
    <w:rsid w:val="00A01088"/>
    <w:rsid w:val="00A02224"/>
    <w:rsid w:val="00A0774B"/>
    <w:rsid w:val="00A1085F"/>
    <w:rsid w:val="00A14A08"/>
    <w:rsid w:val="00A15925"/>
    <w:rsid w:val="00A17CA9"/>
    <w:rsid w:val="00A35570"/>
    <w:rsid w:val="00A376E9"/>
    <w:rsid w:val="00A43039"/>
    <w:rsid w:val="00A5323C"/>
    <w:rsid w:val="00A53440"/>
    <w:rsid w:val="00A5792A"/>
    <w:rsid w:val="00A6084D"/>
    <w:rsid w:val="00A60CF2"/>
    <w:rsid w:val="00A62A0E"/>
    <w:rsid w:val="00A70D92"/>
    <w:rsid w:val="00A7353E"/>
    <w:rsid w:val="00A7610A"/>
    <w:rsid w:val="00A85DDC"/>
    <w:rsid w:val="00A87FD5"/>
    <w:rsid w:val="00A97059"/>
    <w:rsid w:val="00AA22CF"/>
    <w:rsid w:val="00AA4808"/>
    <w:rsid w:val="00AA6AA4"/>
    <w:rsid w:val="00AC1DDB"/>
    <w:rsid w:val="00AC2B85"/>
    <w:rsid w:val="00AC75A4"/>
    <w:rsid w:val="00AD592B"/>
    <w:rsid w:val="00AE28FB"/>
    <w:rsid w:val="00AE68BC"/>
    <w:rsid w:val="00AE6A15"/>
    <w:rsid w:val="00AF73BC"/>
    <w:rsid w:val="00AF7CB0"/>
    <w:rsid w:val="00B00CFE"/>
    <w:rsid w:val="00B200E5"/>
    <w:rsid w:val="00B226BB"/>
    <w:rsid w:val="00B31D1E"/>
    <w:rsid w:val="00B36660"/>
    <w:rsid w:val="00B375B6"/>
    <w:rsid w:val="00B426C3"/>
    <w:rsid w:val="00B43687"/>
    <w:rsid w:val="00B47752"/>
    <w:rsid w:val="00B6384F"/>
    <w:rsid w:val="00B72CAB"/>
    <w:rsid w:val="00B80553"/>
    <w:rsid w:val="00B80DBA"/>
    <w:rsid w:val="00B81370"/>
    <w:rsid w:val="00B82C16"/>
    <w:rsid w:val="00B82E44"/>
    <w:rsid w:val="00B83326"/>
    <w:rsid w:val="00B84F52"/>
    <w:rsid w:val="00B854F5"/>
    <w:rsid w:val="00B87C42"/>
    <w:rsid w:val="00BA48EE"/>
    <w:rsid w:val="00BB027F"/>
    <w:rsid w:val="00BB17BD"/>
    <w:rsid w:val="00BB4706"/>
    <w:rsid w:val="00BC1A7E"/>
    <w:rsid w:val="00BC7513"/>
    <w:rsid w:val="00BD1D1A"/>
    <w:rsid w:val="00BD24CC"/>
    <w:rsid w:val="00BE0E56"/>
    <w:rsid w:val="00BE743C"/>
    <w:rsid w:val="00BF3C88"/>
    <w:rsid w:val="00BF3D7D"/>
    <w:rsid w:val="00BF4D89"/>
    <w:rsid w:val="00C03067"/>
    <w:rsid w:val="00C07953"/>
    <w:rsid w:val="00C203B4"/>
    <w:rsid w:val="00C3067D"/>
    <w:rsid w:val="00C54372"/>
    <w:rsid w:val="00C5581F"/>
    <w:rsid w:val="00C6551A"/>
    <w:rsid w:val="00C65582"/>
    <w:rsid w:val="00C65F21"/>
    <w:rsid w:val="00C663DA"/>
    <w:rsid w:val="00C7721F"/>
    <w:rsid w:val="00C81393"/>
    <w:rsid w:val="00C942BF"/>
    <w:rsid w:val="00C97656"/>
    <w:rsid w:val="00CA4CDB"/>
    <w:rsid w:val="00CC0A65"/>
    <w:rsid w:val="00CC4332"/>
    <w:rsid w:val="00CC5FD3"/>
    <w:rsid w:val="00CC7BCA"/>
    <w:rsid w:val="00CF0EF3"/>
    <w:rsid w:val="00CF1021"/>
    <w:rsid w:val="00CF27A4"/>
    <w:rsid w:val="00D06692"/>
    <w:rsid w:val="00D07107"/>
    <w:rsid w:val="00D129F2"/>
    <w:rsid w:val="00D200B1"/>
    <w:rsid w:val="00D278C9"/>
    <w:rsid w:val="00D405A9"/>
    <w:rsid w:val="00D41AC0"/>
    <w:rsid w:val="00D51BEA"/>
    <w:rsid w:val="00D62FFF"/>
    <w:rsid w:val="00D83297"/>
    <w:rsid w:val="00D9103D"/>
    <w:rsid w:val="00DA380C"/>
    <w:rsid w:val="00DA40EC"/>
    <w:rsid w:val="00DA58B6"/>
    <w:rsid w:val="00DB1F51"/>
    <w:rsid w:val="00DB50B2"/>
    <w:rsid w:val="00DB5BD8"/>
    <w:rsid w:val="00DB6AE5"/>
    <w:rsid w:val="00DE1655"/>
    <w:rsid w:val="00DE2016"/>
    <w:rsid w:val="00DE267D"/>
    <w:rsid w:val="00DE60E6"/>
    <w:rsid w:val="00DF50C1"/>
    <w:rsid w:val="00DF569B"/>
    <w:rsid w:val="00E03327"/>
    <w:rsid w:val="00E04E82"/>
    <w:rsid w:val="00E131F5"/>
    <w:rsid w:val="00E24EA2"/>
    <w:rsid w:val="00E31911"/>
    <w:rsid w:val="00E350AA"/>
    <w:rsid w:val="00E3592C"/>
    <w:rsid w:val="00E37DDE"/>
    <w:rsid w:val="00E5537B"/>
    <w:rsid w:val="00E573EA"/>
    <w:rsid w:val="00E628C5"/>
    <w:rsid w:val="00E64969"/>
    <w:rsid w:val="00E76006"/>
    <w:rsid w:val="00E76781"/>
    <w:rsid w:val="00E86D04"/>
    <w:rsid w:val="00E91B24"/>
    <w:rsid w:val="00E95B57"/>
    <w:rsid w:val="00E96D6D"/>
    <w:rsid w:val="00EA7851"/>
    <w:rsid w:val="00EC02A5"/>
    <w:rsid w:val="00EC7C60"/>
    <w:rsid w:val="00ED1A04"/>
    <w:rsid w:val="00ED2043"/>
    <w:rsid w:val="00ED369A"/>
    <w:rsid w:val="00EE3D77"/>
    <w:rsid w:val="00EF65B2"/>
    <w:rsid w:val="00EF6F85"/>
    <w:rsid w:val="00F1207B"/>
    <w:rsid w:val="00F164C6"/>
    <w:rsid w:val="00F17E86"/>
    <w:rsid w:val="00F2490E"/>
    <w:rsid w:val="00F31052"/>
    <w:rsid w:val="00F37C10"/>
    <w:rsid w:val="00F37E31"/>
    <w:rsid w:val="00F43826"/>
    <w:rsid w:val="00F53BD0"/>
    <w:rsid w:val="00F554F8"/>
    <w:rsid w:val="00F61E11"/>
    <w:rsid w:val="00F630DC"/>
    <w:rsid w:val="00F6554A"/>
    <w:rsid w:val="00F677DE"/>
    <w:rsid w:val="00F72863"/>
    <w:rsid w:val="00F844BB"/>
    <w:rsid w:val="00F859A6"/>
    <w:rsid w:val="00F864BC"/>
    <w:rsid w:val="00F906CA"/>
    <w:rsid w:val="00F91736"/>
    <w:rsid w:val="00F9728F"/>
    <w:rsid w:val="00FA44AF"/>
    <w:rsid w:val="00FB4392"/>
    <w:rsid w:val="00FB4E33"/>
    <w:rsid w:val="00FB5152"/>
    <w:rsid w:val="00FB634E"/>
    <w:rsid w:val="00FB6DB2"/>
    <w:rsid w:val="00FB71E9"/>
    <w:rsid w:val="00FE36EA"/>
    <w:rsid w:val="00FE4013"/>
    <w:rsid w:val="00FE4DB2"/>
    <w:rsid w:val="00FF182A"/>
    <w:rsid w:val="00FF2C03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/>
    <o:shapelayout v:ext="edit">
      <o:idmap v:ext="edit" data="2"/>
    </o:shapelayout>
  </w:shapeDefaults>
  <w:decimalSymbol w:val="."/>
  <w:listSeparator w:val=","/>
  <w14:docId w14:val="59FA3AEA"/>
  <w15:docId w15:val="{A14FD277-70E9-4A6A-AB3E-13F99308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rsid w:val="0044600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character" w:customStyle="1" w:styleId="Heading9Char">
    <w:name w:val="Heading 9 Char"/>
    <w:basedOn w:val="DefaultParagraphFont"/>
    <w:link w:val="Heading9"/>
    <w:rsid w:val="004460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46004"/>
    <w:pPr>
      <w:ind w:left="720"/>
      <w:contextualSpacing/>
    </w:pPr>
    <w:rPr>
      <w:lang w:val="en-NZ"/>
    </w:rPr>
  </w:style>
  <w:style w:type="paragraph" w:styleId="BodyTextIndent">
    <w:name w:val="Body Text Indent"/>
    <w:basedOn w:val="Normal"/>
    <w:link w:val="BodyTextIndentChar"/>
    <w:rsid w:val="00446004"/>
    <w:pPr>
      <w:spacing w:after="120"/>
      <w:ind w:left="283"/>
    </w:pPr>
    <w:rPr>
      <w:lang w:val="en-NZ"/>
    </w:rPr>
  </w:style>
  <w:style w:type="character" w:customStyle="1" w:styleId="BodyTextIndentChar">
    <w:name w:val="Body Text Indent Char"/>
    <w:basedOn w:val="DefaultParagraphFont"/>
    <w:link w:val="BodyTextIndent"/>
    <w:rsid w:val="00446004"/>
    <w:rPr>
      <w:rFonts w:ascii="Trebuchet MS" w:hAnsi="Trebuchet MS"/>
      <w:sz w:val="22"/>
      <w:szCs w:val="24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6004"/>
    <w:rPr>
      <w:rFonts w:ascii="Trebuchet MS" w:hAnsi="Trebuchet MS"/>
      <w:sz w:val="22"/>
      <w:szCs w:val="24"/>
      <w:lang w:val="en-NZ"/>
    </w:rPr>
  </w:style>
  <w:style w:type="character" w:customStyle="1" w:styleId="Heading3Char">
    <w:name w:val="Heading 3 Char"/>
    <w:basedOn w:val="DefaultParagraphFont"/>
    <w:link w:val="Heading3"/>
    <w:rsid w:val="00446004"/>
    <w:rPr>
      <w:b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46004"/>
    <w:rPr>
      <w:rFonts w:ascii="CG Times (WN)" w:hAnsi="CG Times (WN)"/>
      <w:sz w:val="24"/>
      <w:lang w:val="en-GB"/>
    </w:rPr>
  </w:style>
  <w:style w:type="paragraph" w:styleId="Revision">
    <w:name w:val="Revision"/>
    <w:hidden/>
    <w:semiHidden/>
    <w:rsid w:val="00753675"/>
    <w:rPr>
      <w:rFonts w:ascii="Trebuchet MS" w:hAnsi="Trebuchet MS"/>
      <w:sz w:val="22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53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67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basedOn w:val="Normal"/>
    <w:rsid w:val="003C0887"/>
    <w:pPr>
      <w:autoSpaceDE w:val="0"/>
      <w:autoSpaceDN w:val="0"/>
    </w:pPr>
    <w:rPr>
      <w:rFonts w:ascii="Century Gothic" w:eastAsiaTheme="minorHAnsi" w:hAnsi="Century Gothic"/>
      <w:color w:val="000000"/>
      <w:sz w:val="24"/>
      <w:lang w:val="en-NZ"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6669C9"/>
    <w:rPr>
      <w:rFonts w:ascii="CG Times (WN)" w:hAnsi="CG Times (WN)"/>
      <w:sz w:val="24"/>
      <w:lang w:val="en-GB"/>
    </w:rPr>
  </w:style>
  <w:style w:type="table" w:styleId="TableGrid">
    <w:name w:val="Table Grid"/>
    <w:basedOn w:val="TableNormal"/>
    <w:rsid w:val="00B81370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p\Desktop\ABP%20Documents\Templates\SPREP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Letter</Template>
  <TotalTime>7</TotalTime>
  <Pages>2</Pages>
  <Words>403</Words>
  <Characters>2194</Characters>
  <Application>Microsoft Office Word</Application>
  <DocSecurity>0</DocSecurity>
  <Lines>136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2493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subject/>
  <dc:creator>Audrey Brown-Pereira</dc:creator>
  <cp:keywords/>
  <dc:description/>
  <cp:lastModifiedBy>Apiseta Eti</cp:lastModifiedBy>
  <cp:revision>6</cp:revision>
  <cp:lastPrinted>2025-09-03T03:03:00Z</cp:lastPrinted>
  <dcterms:created xsi:type="dcterms:W3CDTF">2026-07-07T00:41:00Z</dcterms:created>
  <dcterms:modified xsi:type="dcterms:W3CDTF">2026-07-08T20:56:00Z</dcterms:modified>
</cp:coreProperties>
</file>