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B0353" w14:textId="77777777" w:rsidR="00B35DB5" w:rsidRDefault="00B35DB5" w:rsidP="00E7545B">
      <w:pPr>
        <w:pStyle w:val="Heading3"/>
        <w:jc w:val="center"/>
      </w:pPr>
      <w:bookmarkStart w:id="0" w:name="_GoBack"/>
      <w:bookmarkEnd w:id="0"/>
    </w:p>
    <w:p w14:paraId="4EA53E53" w14:textId="77777777" w:rsidR="00B35DB5" w:rsidRDefault="00B35DB5" w:rsidP="00E7545B">
      <w:pPr>
        <w:pStyle w:val="Heading3"/>
        <w:jc w:val="center"/>
      </w:pPr>
    </w:p>
    <w:sdt>
      <w:sdtPr>
        <w:rPr>
          <w:rFonts w:asciiTheme="minorHAnsi" w:eastAsiaTheme="minorEastAsia" w:hAnsiTheme="minorHAnsi" w:cstheme="minorBidi"/>
          <w:caps w:val="0"/>
          <w:sz w:val="21"/>
          <w:szCs w:val="21"/>
        </w:rPr>
        <w:id w:val="-1410150343"/>
        <w:docPartObj>
          <w:docPartGallery w:val="Cover Pages"/>
          <w:docPartUnique/>
        </w:docPartObj>
      </w:sdtPr>
      <w:sdtEndPr>
        <w:rPr>
          <w:noProof/>
          <w:color w:val="335B74" w:themeColor="text2"/>
          <w:sz w:val="32"/>
          <w:szCs w:val="32"/>
        </w:rPr>
      </w:sdtEndPr>
      <w:sdtContent>
        <w:p w14:paraId="54370708" w14:textId="77777777" w:rsidR="00B35DB5" w:rsidRDefault="00B35DB5" w:rsidP="00E7545B">
          <w:pPr>
            <w:pStyle w:val="Heading3"/>
            <w:jc w:val="center"/>
          </w:pPr>
        </w:p>
        <w:p w14:paraId="00148D6A" w14:textId="77777777" w:rsidR="00B35DB5" w:rsidRDefault="00B35DB5" w:rsidP="00E7545B">
          <w:pPr>
            <w:pStyle w:val="Heading3"/>
            <w:jc w:val="center"/>
            <w:rPr>
              <w:noProof/>
              <w:color w:val="335B74" w:themeColor="text2"/>
              <w:sz w:val="32"/>
              <w:szCs w:val="32"/>
            </w:rPr>
          </w:pPr>
        </w:p>
        <w:p w14:paraId="1F39AA64" w14:textId="77777777" w:rsidR="00B35DB5" w:rsidRDefault="00B35DB5" w:rsidP="00E7545B">
          <w:pPr>
            <w:pStyle w:val="Heading3"/>
            <w:jc w:val="center"/>
            <w:rPr>
              <w:noProof/>
              <w:color w:val="335B74" w:themeColor="text2"/>
              <w:sz w:val="32"/>
              <w:szCs w:val="32"/>
            </w:rPr>
          </w:pPr>
        </w:p>
        <w:p w14:paraId="7E52CE1D" w14:textId="77777777" w:rsidR="00B35DB5" w:rsidRDefault="00B35DB5" w:rsidP="00E7545B">
          <w:pPr>
            <w:pStyle w:val="Heading3"/>
            <w:jc w:val="center"/>
            <w:rPr>
              <w:noProof/>
              <w:color w:val="335B74" w:themeColor="text2"/>
              <w:sz w:val="32"/>
              <w:szCs w:val="32"/>
            </w:rPr>
          </w:pPr>
        </w:p>
        <w:p w14:paraId="07CDC3D6" w14:textId="77777777" w:rsidR="00B35DB5" w:rsidRDefault="00B35DB5" w:rsidP="00E7545B">
          <w:pPr>
            <w:pStyle w:val="Heading3"/>
            <w:jc w:val="center"/>
            <w:rPr>
              <w:noProof/>
              <w:color w:val="335B74" w:themeColor="text2"/>
              <w:sz w:val="32"/>
              <w:szCs w:val="32"/>
            </w:rPr>
          </w:pPr>
        </w:p>
        <w:p w14:paraId="241F18E9" w14:textId="77777777" w:rsidR="00B35DB5" w:rsidRDefault="00B35DB5" w:rsidP="00E7545B">
          <w:pPr>
            <w:pStyle w:val="Heading3"/>
            <w:jc w:val="center"/>
            <w:rPr>
              <w:noProof/>
              <w:color w:val="335B74" w:themeColor="text2"/>
              <w:sz w:val="32"/>
              <w:szCs w:val="32"/>
            </w:rPr>
          </w:pPr>
        </w:p>
        <w:p w14:paraId="45F974AD" w14:textId="77777777" w:rsidR="00B35DB5" w:rsidRDefault="00B35DB5" w:rsidP="00E7545B">
          <w:pPr>
            <w:pStyle w:val="Heading3"/>
            <w:jc w:val="center"/>
            <w:rPr>
              <w:noProof/>
              <w:color w:val="335B74" w:themeColor="text2"/>
              <w:sz w:val="32"/>
              <w:szCs w:val="32"/>
            </w:rPr>
          </w:pPr>
        </w:p>
        <w:p w14:paraId="5FD3C29C" w14:textId="77777777" w:rsidR="00B35DB5" w:rsidRDefault="00B35DB5" w:rsidP="00E7545B">
          <w:pPr>
            <w:pStyle w:val="Heading3"/>
            <w:jc w:val="center"/>
            <w:rPr>
              <w:noProof/>
              <w:color w:val="335B74" w:themeColor="text2"/>
              <w:sz w:val="32"/>
              <w:szCs w:val="32"/>
            </w:rPr>
          </w:pPr>
        </w:p>
        <w:p w14:paraId="2BF7F985" w14:textId="760F7442" w:rsidR="00B35DB5" w:rsidRDefault="00B35DB5" w:rsidP="00E7545B">
          <w:pPr>
            <w:pStyle w:val="Heading3"/>
            <w:jc w:val="center"/>
            <w:rPr>
              <w:noProof/>
              <w:color w:val="335B74" w:themeColor="text2"/>
              <w:sz w:val="32"/>
              <w:szCs w:val="32"/>
            </w:rPr>
          </w:pPr>
        </w:p>
        <w:p w14:paraId="6BF17CC4" w14:textId="77777777" w:rsidR="00B35DB5" w:rsidRPr="00B35DB5" w:rsidRDefault="00B35DB5" w:rsidP="00B35DB5"/>
        <w:p w14:paraId="2F1128CC" w14:textId="77777777" w:rsidR="00B35DB5" w:rsidRDefault="00B35DB5" w:rsidP="00E7545B">
          <w:pPr>
            <w:pStyle w:val="Heading3"/>
            <w:jc w:val="center"/>
            <w:rPr>
              <w:noProof/>
              <w:color w:val="335B74" w:themeColor="text2"/>
              <w:sz w:val="32"/>
              <w:szCs w:val="32"/>
            </w:rPr>
          </w:pPr>
        </w:p>
        <w:p w14:paraId="690710B8" w14:textId="4056E184" w:rsidR="00E7545B" w:rsidRPr="00E7545B" w:rsidRDefault="00226F49" w:rsidP="00E7545B">
          <w:pPr>
            <w:pStyle w:val="Heading3"/>
            <w:jc w:val="center"/>
            <w:rPr>
              <w:noProof/>
              <w:color w:val="335B74" w:themeColor="text2"/>
              <w:sz w:val="32"/>
              <w:szCs w:val="32"/>
            </w:rPr>
          </w:pPr>
          <w:r>
            <w:rPr>
              <w:noProof/>
              <w:lang w:val="en-GB" w:eastAsia="en-GB"/>
            </w:rPr>
            <mc:AlternateContent>
              <mc:Choice Requires="wps">
                <w:drawing>
                  <wp:anchor distT="0" distB="0" distL="114300" distR="114300" simplePos="0" relativeHeight="251661312" behindDoc="0" locked="1" layoutInCell="1" allowOverlap="1" wp14:anchorId="35F02F04" wp14:editId="6E6B9590">
                    <wp:simplePos x="0" y="0"/>
                    <wp:positionH relativeFrom="margin">
                      <wp:posOffset>488950</wp:posOffset>
                    </wp:positionH>
                    <wp:positionV relativeFrom="page">
                      <wp:posOffset>4533265</wp:posOffset>
                    </wp:positionV>
                    <wp:extent cx="5060950" cy="2188845"/>
                    <wp:effectExtent l="0" t="0" r="6350" b="1905"/>
                    <wp:wrapSquare wrapText="bothSides"/>
                    <wp:docPr id="35"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60950" cy="2188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DA0076" w14:textId="7B3A8C57" w:rsidR="00A30237" w:rsidRDefault="00614EFC" w:rsidP="00411CE0">
                                <w:pPr>
                                  <w:pStyle w:val="Subtitle"/>
                                  <w:jc w:val="center"/>
                                  <w:rPr>
                                    <w:sz w:val="48"/>
                                    <w:szCs w:val="48"/>
                                  </w:rPr>
                                </w:pPr>
                                <w:r w:rsidRPr="00AF5E25">
                                  <w:rPr>
                                    <w:sz w:val="48"/>
                                    <w:szCs w:val="48"/>
                                  </w:rPr>
                                  <w:t>Work Plan Presented by</w:t>
                                </w:r>
                                <w:r w:rsidR="00A30237">
                                  <w:rPr>
                                    <w:sz w:val="48"/>
                                    <w:szCs w:val="48"/>
                                  </w:rPr>
                                  <w:t xml:space="preserve"> David Evers</w:t>
                                </w:r>
                                <w:r w:rsidR="00411CE0">
                                  <w:rPr>
                                    <w:sz w:val="48"/>
                                    <w:szCs w:val="48"/>
                                  </w:rPr>
                                  <w:t xml:space="preserve"> </w:t>
                                </w:r>
                                <w:r w:rsidR="007343AA">
                                  <w:rPr>
                                    <w:sz w:val="48"/>
                                    <w:szCs w:val="48"/>
                                  </w:rPr>
                                  <w:t xml:space="preserve">    &amp; Molly Taylor</w:t>
                                </w:r>
                              </w:p>
                              <w:p w14:paraId="5AB1DD6C" w14:textId="518B3398" w:rsidR="00AF5E25" w:rsidRPr="00D42176" w:rsidRDefault="00A30237" w:rsidP="00AF5E25">
                                <w:pPr>
                                  <w:pStyle w:val="Subtitle"/>
                                  <w:jc w:val="center"/>
                                  <w:rPr>
                                    <w:sz w:val="32"/>
                                    <w:szCs w:val="32"/>
                                  </w:rPr>
                                </w:pPr>
                                <w:r w:rsidRPr="00005201">
                                  <w:rPr>
                                    <w:sz w:val="36"/>
                                    <w:szCs w:val="36"/>
                                  </w:rPr>
                                  <w:t>On 30 May 2019</w:t>
                                </w:r>
                                <w:sdt>
                                  <w:sdtPr>
                                    <w:rPr>
                                      <w:sz w:val="32"/>
                                      <w:szCs w:val="32"/>
                                    </w:rPr>
                                    <w:alias w:val="Your Name"/>
                                    <w:tag w:val=""/>
                                    <w:id w:val="1570297104"/>
                                    <w:dataBinding w:prefixMappings="xmlns:ns0='http://purl.org/dc/elements/1.1/' xmlns:ns1='http://schemas.openxmlformats.org/package/2006/metadata/core-properties' " w:xpath="/ns1:coreProperties[1]/ns0:creator[1]" w:storeItemID="{6C3C8BC8-F283-45AE-878A-BAB7291924A1}"/>
                                    <w:text/>
                                  </w:sdtPr>
                                  <w:sdtEndPr/>
                                  <w:sdtContent>
                                    <w:r w:rsidR="00124DFA">
                                      <w:rPr>
                                        <w:sz w:val="32"/>
                                        <w:szCs w:val="32"/>
                                      </w:rPr>
                                      <w:t>SPREP Registry</w:t>
                                    </w:r>
                                  </w:sdtContent>
                                </w:sdt>
                              </w:p>
                              <w:p w14:paraId="5C71C8FC" w14:textId="494FB6F1" w:rsidR="00614EFC" w:rsidRPr="00B35DB5" w:rsidRDefault="00124DFA" w:rsidP="00B96875">
                                <w:pPr>
                                  <w:pStyle w:val="Contactinfo"/>
                                  <w:jc w:val="center"/>
                                  <w:rPr>
                                    <w:sz w:val="44"/>
                                    <w:szCs w:val="44"/>
                                  </w:rPr>
                                </w:pPr>
                                <w:sdt>
                                  <w:sdtPr>
                                    <w:rPr>
                                      <w:sz w:val="44"/>
                                      <w:szCs w:val="44"/>
                                    </w:rPr>
                                    <w:alias w:val="Company Address"/>
                                    <w:tag w:val=""/>
                                    <w:id w:val="-1515219664"/>
                                    <w:dataBinding w:prefixMappings="xmlns:ns0='http://schemas.microsoft.com/office/2006/coverPageProps' " w:xpath="/ns0:CoverPageProperties[1]/ns0:CompanyAddress[1]" w:storeItemID="{55AF091B-3C7A-41E3-B477-F2FDAA23CFDA}"/>
                                    <w:text/>
                                  </w:sdtPr>
                                  <w:sdtEndPr/>
                                  <w:sdtContent>
                                    <w:r w:rsidR="00AF5E25">
                                      <w:rPr>
                                        <w:sz w:val="44"/>
                                        <w:szCs w:val="44"/>
                                      </w:rPr>
                                      <w:t>Biodiversity Research Institute</w:t>
                                    </w:r>
                                    <w:r w:rsidR="00A30237">
                                      <w:rPr>
                                        <w:sz w:val="44"/>
                                        <w:szCs w:val="44"/>
                                      </w:rPr>
                                      <w:t xml:space="preserve"> </w:t>
                                    </w:r>
                                    <w:r w:rsidR="00AF5E25">
                                      <w:rPr>
                                        <w:sz w:val="44"/>
                                        <w:szCs w:val="44"/>
                                      </w:rPr>
                                      <w:t>Portland, Maine, USA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5F02F04" id="_x0000_t202" coordsize="21600,21600" o:spt="202" path="m,l,21600r21600,l21600,xe">
                    <v:stroke joinstyle="miter"/>
                    <v:path gradientshapeok="t" o:connecttype="rect"/>
                  </v:shapetype>
                  <v:shape id="Text Box 35" o:spid="_x0000_s1026" type="#_x0000_t202" alt="Presenter, company name and address" style="position:absolute;left:0;text-align:left;margin-left:38.5pt;margin-top:356.95pt;width:398.5pt;height:172.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" filled="f" stroked="f" strokeweight=".5pt">
                    <v:textbox inset="0,0,0,0">
                      <w:txbxContent>
                        <w:p w14:paraId="5FDA0076" w14:textId="7B3A8C57" w:rsidR="00A30237" w:rsidRDefault="00614EFC" w:rsidP="00411CE0">
                          <w:pPr>
                            <w:pStyle w:val="Subtitle"/>
                            <w:jc w:val="center"/>
                            <w:rPr>
                              <w:sz w:val="48"/>
                              <w:szCs w:val="48"/>
                            </w:rPr>
                          </w:pPr>
                          <w:r w:rsidRPr="00AF5E25">
                            <w:rPr>
                              <w:sz w:val="48"/>
                              <w:szCs w:val="48"/>
                            </w:rPr>
                            <w:t>Work Plan Presented by</w:t>
                          </w:r>
                          <w:r w:rsidR="00A30237">
                            <w:rPr>
                              <w:sz w:val="48"/>
                              <w:szCs w:val="48"/>
                            </w:rPr>
                            <w:t xml:space="preserve"> David Evers</w:t>
                          </w:r>
                          <w:r w:rsidR="00411CE0">
                            <w:rPr>
                              <w:sz w:val="48"/>
                              <w:szCs w:val="48"/>
                            </w:rPr>
                            <w:t xml:space="preserve"> </w:t>
                          </w:r>
                          <w:r w:rsidR="007343AA">
                            <w:rPr>
                              <w:sz w:val="48"/>
                              <w:szCs w:val="48"/>
                            </w:rPr>
                            <w:t xml:space="preserve">    &amp; Molly Taylor</w:t>
                          </w:r>
                        </w:p>
                        <w:p w14:paraId="5AB1DD6C" w14:textId="518B3398" w:rsidR="00AF5E25" w:rsidRPr="00D42176" w:rsidRDefault="00A30237" w:rsidP="00AF5E25">
                          <w:pPr>
                            <w:pStyle w:val="Subtitle"/>
                            <w:jc w:val="center"/>
                            <w:rPr>
                              <w:sz w:val="32"/>
                              <w:szCs w:val="32"/>
                            </w:rPr>
                          </w:pPr>
                          <w:r w:rsidRPr="00005201">
                            <w:rPr>
                              <w:sz w:val="36"/>
                              <w:szCs w:val="36"/>
                            </w:rPr>
                            <w:t>On 30 May 2019</w:t>
                          </w:r>
                          <w:sdt>
                            <w:sdtPr>
                              <w:rPr>
                                <w:sz w:val="32"/>
                                <w:szCs w:val="32"/>
                              </w:rPr>
                              <w:alias w:val="Your Name"/>
                              <w:tag w:val=""/>
                              <w:id w:val="1570297104"/>
                              <w:dataBinding w:prefixMappings="xmlns:ns0='http://purl.org/dc/elements/1.1/' xmlns:ns1='http://schemas.openxmlformats.org/package/2006/metadata/core-properties' " w:xpath="/ns1:coreProperties[1]/ns0:creator[1]" w:storeItemID="{6C3C8BC8-F283-45AE-878A-BAB7291924A1}"/>
                              <w:text/>
                            </w:sdtPr>
                            <w:sdtEndPr/>
                            <w:sdtContent>
                              <w:r w:rsidR="00124DFA">
                                <w:rPr>
                                  <w:sz w:val="32"/>
                                  <w:szCs w:val="32"/>
                                </w:rPr>
                                <w:t>SPREP Registry</w:t>
                              </w:r>
                            </w:sdtContent>
                          </w:sdt>
                        </w:p>
                        <w:p w14:paraId="5C71C8FC" w14:textId="494FB6F1" w:rsidR="00614EFC" w:rsidRPr="00B35DB5" w:rsidRDefault="00124DFA" w:rsidP="00B96875">
                          <w:pPr>
                            <w:pStyle w:val="Contactinfo"/>
                            <w:jc w:val="center"/>
                            <w:rPr>
                              <w:sz w:val="44"/>
                              <w:szCs w:val="44"/>
                            </w:rPr>
                          </w:pPr>
                          <w:sdt>
                            <w:sdtPr>
                              <w:rPr>
                                <w:sz w:val="44"/>
                                <w:szCs w:val="44"/>
                              </w:rPr>
                              <w:alias w:val="Company Address"/>
                              <w:tag w:val=""/>
                              <w:id w:val="-1515219664"/>
                              <w:dataBinding w:prefixMappings="xmlns:ns0='http://schemas.microsoft.com/office/2006/coverPageProps' " w:xpath="/ns0:CoverPageProperties[1]/ns0:CompanyAddress[1]" w:storeItemID="{55AF091B-3C7A-41E3-B477-F2FDAA23CFDA}"/>
                              <w:text/>
                            </w:sdtPr>
                            <w:sdtEndPr/>
                            <w:sdtContent>
                              <w:r w:rsidR="00AF5E25">
                                <w:rPr>
                                  <w:sz w:val="44"/>
                                  <w:szCs w:val="44"/>
                                </w:rPr>
                                <w:t>Biodiversity Research Institute</w:t>
                              </w:r>
                              <w:r w:rsidR="00A30237">
                                <w:rPr>
                                  <w:sz w:val="44"/>
                                  <w:szCs w:val="44"/>
                                </w:rPr>
                                <w:t xml:space="preserve"> </w:t>
                              </w:r>
                              <w:r w:rsidR="00AF5E25">
                                <w:rPr>
                                  <w:sz w:val="44"/>
                                  <w:szCs w:val="44"/>
                                </w:rPr>
                                <w:t>Portland, Maine, USA</w:t>
                              </w:r>
                            </w:sdtContent>
                          </w:sdt>
                        </w:p>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60288" behindDoc="0" locked="1" layoutInCell="1" allowOverlap="1" wp14:anchorId="27F383D9" wp14:editId="23779996">
                    <wp:simplePos x="0" y="0"/>
                    <wp:positionH relativeFrom="margin">
                      <wp:posOffset>135255</wp:posOffset>
                    </wp:positionH>
                    <wp:positionV relativeFrom="page">
                      <wp:posOffset>871220</wp:posOffset>
                    </wp:positionV>
                    <wp:extent cx="5965825" cy="3838575"/>
                    <wp:effectExtent l="0" t="0" r="0" b="9525"/>
                    <wp:wrapSquare wrapText="bothSides"/>
                    <wp:docPr id="37"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5825" cy="3838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719CA5" w14:textId="126BFEC3" w:rsidR="00614EFC" w:rsidRDefault="00614EFC">
                                <w:pPr>
                                  <w:pStyle w:val="Logo"/>
                                </w:pPr>
                              </w:p>
                              <w:sdt>
                                <w:sdt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1A934BFF" w14:textId="10E58014" w:rsidR="00614EFC" w:rsidRDefault="00733D9E">
                                    <w:pPr>
                                      <w:pStyle w:val="Title"/>
                                    </w:pPr>
                                    <w:r>
                                      <w:t>Minamata Initial Assessment – MERCURY Inventory Development in the South Pacific</w:t>
                                    </w:r>
                                  </w:p>
                                </w:sdtContent>
                              </w:sdt>
                              <w:p w14:paraId="1FD73840" w14:textId="77777777" w:rsidR="00614EFC" w:rsidRDefault="00614EFC">
                                <w:pPr>
                                  <w:pStyle w:val="Subtit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F383D9" id="Text Box 37" o:spid="_x0000_s1027" type="#_x0000_t202" alt="Title and subtitle" style="position:absolute;left:0;text-align:left;margin-left:10.65pt;margin-top:68.6pt;width:469.75pt;height:30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" filled="f" stroked="f" strokeweight=".5pt">
                    <v:textbox inset="0,0,0,0">
                      <w:txbxContent>
                        <w:p w14:paraId="4D719CA5" w14:textId="126BFEC3" w:rsidR="00614EFC" w:rsidRDefault="00614EFC">
                          <w:pPr>
                            <w:pStyle w:val="Logo"/>
                          </w:pPr>
                        </w:p>
                        <w:sdt>
                          <w:sdt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1A934BFF" w14:textId="10E58014" w:rsidR="00614EFC" w:rsidRDefault="00733D9E">
                              <w:pPr>
                                <w:pStyle w:val="Title"/>
                              </w:pPr>
                              <w:r>
                                <w:t>Minamata Initial Assessment – MERCURY Inventory Development in the South Pacific</w:t>
                              </w:r>
                            </w:p>
                          </w:sdtContent>
                        </w:sdt>
                        <w:p w14:paraId="1FD73840" w14:textId="77777777" w:rsidR="00614EFC" w:rsidRDefault="00614EFC">
                          <w:pPr>
                            <w:pStyle w:val="Subtitle"/>
                          </w:pPr>
                        </w:p>
                      </w:txbxContent>
                    </v:textbox>
                    <w10:wrap type="square" anchorx="margin" anchory="page"/>
                    <w10:anchorlock/>
                  </v:shape>
                </w:pict>
              </mc:Fallback>
            </mc:AlternateContent>
          </w:r>
          <w:r>
            <w:rPr>
              <w:noProof/>
              <w:lang w:val="en-GB" w:eastAsia="en-GB"/>
            </w:rPr>
            <mc:AlternateContent>
              <mc:Choice Requires="wpg">
                <w:drawing>
                  <wp:anchor distT="0" distB="0" distL="114300" distR="114300" simplePos="0" relativeHeight="251659264" behindDoc="0" locked="0" layoutInCell="1" allowOverlap="1" wp14:anchorId="66DCB199" wp14:editId="2A6968A2">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5425" cy="9143365"/>
                    <wp:effectExtent l="0" t="0" r="0" b="0"/>
                    <wp:wrapNone/>
                    <wp:docPr id="38" name="Group 38" title="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5425" cy="9143365"/>
                              <a:chOff x="0" y="0"/>
                              <a:chExt cx="228600" cy="9144000"/>
                            </a:xfrm>
                          </wpg:grpSpPr>
                          <wps:wsp>
                            <wps:cNvPr id="39" name="Rectangle 39"/>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36A409C5" id="Group 38" o:spid="_x0000_s1026" alt="Title: Decorative sidebar" style="position:absolute;margin-left:0;margin-top:0;width:17.75pt;height:719.95pt;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" fillcolor="#2683c6 [3205]" stroked="f" strokeweight="1.25pt"/>
                    <v:rect id="Rectangle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" fillcolor="#1cade4 [3204]" stroked="f" strokeweight="1.25pt">
                      <o:lock v:ext="edit" aspectratio="t"/>
                    </v:rect>
                    <w10:wrap anchorx="page" anchory="page"/>
                  </v:group>
                </w:pict>
              </mc:Fallback>
            </mc:AlternateContent>
          </w:r>
          <w:r w:rsidR="00E7545B" w:rsidRPr="00534B4C">
            <w:rPr>
              <w:noProof/>
              <w:color w:val="FFFFFF"/>
              <w:sz w:val="44"/>
              <w:szCs w:val="44"/>
              <w:lang w:val="en-GB" w:eastAsia="en-GB"/>
            </w:rPr>
            <w:drawing>
              <wp:inline distT="0" distB="0" distL="0" distR="0" wp14:anchorId="0334408C" wp14:editId="4F93D998">
                <wp:extent cx="1520763" cy="788839"/>
                <wp:effectExtent l="0" t="0" r="381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91630" cy="825598"/>
                        </a:xfrm>
                        <a:prstGeom prst="rect">
                          <a:avLst/>
                        </a:prstGeom>
                        <a:noFill/>
                        <a:ln w="9525">
                          <a:noFill/>
                          <a:miter lim="800000"/>
                          <a:headEnd/>
                          <a:tailEnd/>
                        </a:ln>
                      </pic:spPr>
                    </pic:pic>
                  </a:graphicData>
                </a:graphic>
              </wp:inline>
            </w:drawing>
          </w:r>
          <w:r w:rsidR="008145BD">
            <w:rPr>
              <w:noProof/>
              <w:color w:val="335B74" w:themeColor="text2"/>
              <w:sz w:val="32"/>
              <w:szCs w:val="32"/>
            </w:rPr>
            <w:br w:type="page"/>
          </w:r>
        </w:p>
        <w:p w14:paraId="55A1F7FC" w14:textId="77777777" w:rsidR="00D957C3" w:rsidRDefault="00124DFA">
          <w:pPr>
            <w:rPr>
              <w:noProof/>
              <w:color w:val="335B74" w:themeColor="text2"/>
              <w:sz w:val="32"/>
              <w:szCs w:val="40"/>
            </w:rPr>
          </w:pPr>
        </w:p>
      </w:sdtContent>
    </w:sdt>
    <w:sdt>
      <w:sdtPr>
        <w:alias w:val="Title"/>
        <w:tag w:val=""/>
        <w:id w:val="1722478048"/>
        <w:dataBinding w:prefixMappings="xmlns:ns0='http://purl.org/dc/elements/1.1/' xmlns:ns1='http://schemas.openxmlformats.org/package/2006/metadata/core-properties' " w:xpath="/ns1:coreProperties[1]/ns0:title[1]" w:storeItemID="{6C3C8BC8-F283-45AE-878A-BAB7291924A1}"/>
        <w:text/>
      </w:sdtPr>
      <w:sdtEndPr/>
      <w:sdtContent>
        <w:p w14:paraId="41B365E0" w14:textId="7708FF8E" w:rsidR="00D957C3" w:rsidRDefault="003C2171">
          <w:pPr>
            <w:pStyle w:val="Heading1"/>
          </w:pPr>
          <w:r>
            <w:t>Minamata Initial Assessment – MERCURY Inventory Development in the South Pacific</w:t>
          </w:r>
        </w:p>
      </w:sdtContent>
    </w:sdt>
    <w:p w14:paraId="1DAD3E9F" w14:textId="77777777" w:rsidR="00995A36" w:rsidRDefault="00995A36">
      <w:pPr>
        <w:pStyle w:val="Heading2"/>
        <w:rPr>
          <w:b/>
        </w:rPr>
      </w:pPr>
    </w:p>
    <w:p w14:paraId="1A58085C" w14:textId="1EE04B16" w:rsidR="00D957C3" w:rsidRPr="00C97EDF" w:rsidRDefault="003A19A2">
      <w:pPr>
        <w:pStyle w:val="Heading2"/>
        <w:rPr>
          <w:b/>
        </w:rPr>
      </w:pPr>
      <w:r w:rsidRPr="00C97EDF">
        <w:rPr>
          <w:b/>
        </w:rPr>
        <w:t>BACKGROUND</w:t>
      </w:r>
    </w:p>
    <w:p w14:paraId="3E457DED" w14:textId="07176347" w:rsidR="003A19A2" w:rsidRPr="006B2D3B" w:rsidRDefault="003A19A2" w:rsidP="006B2D3B">
      <w:pPr>
        <w:pStyle w:val="Footer"/>
        <w:spacing w:after="80"/>
        <w:rPr>
          <w:rFonts w:cstheme="minorHAnsi"/>
          <w:sz w:val="24"/>
          <w:szCs w:val="24"/>
        </w:rPr>
      </w:pPr>
      <w:r w:rsidRPr="006B2D3B">
        <w:rPr>
          <w:rFonts w:cstheme="minorHAnsi"/>
          <w:sz w:val="24"/>
          <w:szCs w:val="24"/>
        </w:rPr>
        <w:t xml:space="preserve">The Minamata Convention on Mercury, opened for signature in October of 2013, </w:t>
      </w:r>
      <w:r w:rsidR="00C200B4" w:rsidRPr="006B2D3B">
        <w:rPr>
          <w:rFonts w:cstheme="minorHAnsi"/>
          <w:sz w:val="24"/>
          <w:szCs w:val="24"/>
        </w:rPr>
        <w:t xml:space="preserve">and ratified on 16 August 2017, </w:t>
      </w:r>
      <w:r w:rsidRPr="006B2D3B">
        <w:rPr>
          <w:rFonts w:cstheme="minorHAnsi"/>
          <w:sz w:val="24"/>
          <w:szCs w:val="24"/>
        </w:rPr>
        <w:t xml:space="preserve">is the first global legally binding agreement specifically designed to address contamination from a heavy metal.  Under the Minamata Convention, individual countries are charged with protecting human health and the environment from the risks of mercury exposure by systematically controlling mercury emissions and releases, including phasing out the use of mercury in certain products and processes. The major highlights of the Convention include a ban on new mercury mines, the phase-out of existing ones, control measures on air emissions, and the international regulation of the informal sector for artisanal and small-scale gold mining. </w:t>
      </w:r>
    </w:p>
    <w:p w14:paraId="0AFCB209" w14:textId="77777777" w:rsidR="009B1F3C" w:rsidRPr="00EC5DCC" w:rsidRDefault="009B1F3C" w:rsidP="003A19A2">
      <w:pPr>
        <w:pStyle w:val="Default"/>
        <w:rPr>
          <w:rFonts w:asciiTheme="minorHAnsi" w:hAnsiTheme="minorHAnsi" w:cstheme="minorHAnsi"/>
        </w:rPr>
      </w:pPr>
    </w:p>
    <w:p w14:paraId="1B46BAF2" w14:textId="4EF8CE46" w:rsidR="00AF2D87" w:rsidRDefault="00AF2D87" w:rsidP="00D42EAB">
      <w:pPr>
        <w:pStyle w:val="Footer"/>
        <w:spacing w:after="80"/>
        <w:rPr>
          <w:rFonts w:cstheme="minorHAnsi"/>
          <w:sz w:val="24"/>
          <w:szCs w:val="24"/>
        </w:rPr>
      </w:pPr>
      <w:r w:rsidRPr="00EC5DCC">
        <w:rPr>
          <w:rFonts w:cstheme="minorHAnsi"/>
          <w:sz w:val="24"/>
          <w:szCs w:val="24"/>
        </w:rPr>
        <w:t>T</w:t>
      </w:r>
      <w:r w:rsidR="003C5AC5" w:rsidRPr="00EC5DCC">
        <w:rPr>
          <w:rFonts w:cstheme="minorHAnsi"/>
          <w:sz w:val="24"/>
          <w:szCs w:val="24"/>
        </w:rPr>
        <w:t xml:space="preserve">he </w:t>
      </w:r>
      <w:r w:rsidR="00995A36">
        <w:rPr>
          <w:rFonts w:cstheme="minorHAnsi"/>
          <w:sz w:val="24"/>
          <w:szCs w:val="24"/>
        </w:rPr>
        <w:t>South Pacific</w:t>
      </w:r>
      <w:r w:rsidRPr="00EC5DCC">
        <w:rPr>
          <w:rFonts w:cstheme="minorHAnsi"/>
          <w:sz w:val="24"/>
          <w:szCs w:val="24"/>
        </w:rPr>
        <w:t xml:space="preserve"> </w:t>
      </w:r>
      <w:r w:rsidR="003C5AC5" w:rsidRPr="00EC5DCC">
        <w:rPr>
          <w:rFonts w:cstheme="minorHAnsi"/>
          <w:sz w:val="24"/>
          <w:szCs w:val="24"/>
        </w:rPr>
        <w:t xml:space="preserve">countries of </w:t>
      </w:r>
      <w:r w:rsidR="00E9581E">
        <w:rPr>
          <w:rFonts w:cstheme="minorHAnsi"/>
          <w:sz w:val="24"/>
          <w:szCs w:val="24"/>
        </w:rPr>
        <w:t>Cook Islands</w:t>
      </w:r>
      <w:r w:rsidRPr="00EC5DCC">
        <w:rPr>
          <w:rFonts w:cstheme="minorHAnsi"/>
          <w:sz w:val="24"/>
          <w:szCs w:val="24"/>
        </w:rPr>
        <w:t>,</w:t>
      </w:r>
      <w:r w:rsidR="00E9581E">
        <w:rPr>
          <w:rFonts w:cstheme="minorHAnsi"/>
          <w:sz w:val="24"/>
          <w:szCs w:val="24"/>
        </w:rPr>
        <w:t xml:space="preserve"> Kiribati, Palau, Tonga</w:t>
      </w:r>
      <w:r w:rsidR="008757B7">
        <w:rPr>
          <w:rFonts w:cstheme="minorHAnsi"/>
          <w:sz w:val="24"/>
          <w:szCs w:val="24"/>
        </w:rPr>
        <w:t>, and Van</w:t>
      </w:r>
      <w:r w:rsidR="000649C2">
        <w:rPr>
          <w:rFonts w:cstheme="minorHAnsi"/>
          <w:sz w:val="24"/>
          <w:szCs w:val="24"/>
        </w:rPr>
        <w:t>uatu</w:t>
      </w:r>
      <w:r w:rsidR="00733D9E">
        <w:rPr>
          <w:rFonts w:cstheme="minorHAnsi"/>
          <w:sz w:val="24"/>
          <w:szCs w:val="24"/>
        </w:rPr>
        <w:t>,</w:t>
      </w:r>
      <w:r w:rsidRPr="00EC5DCC">
        <w:rPr>
          <w:rFonts w:cstheme="minorHAnsi"/>
          <w:sz w:val="24"/>
          <w:szCs w:val="24"/>
        </w:rPr>
        <w:t xml:space="preserve"> with funding from the Global Environment Facility (GEF)</w:t>
      </w:r>
      <w:r w:rsidR="00733D9E">
        <w:rPr>
          <w:rFonts w:cstheme="minorHAnsi"/>
          <w:sz w:val="24"/>
          <w:szCs w:val="24"/>
        </w:rPr>
        <w:t>,</w:t>
      </w:r>
      <w:r w:rsidR="003C5AC5" w:rsidRPr="00EC5DCC">
        <w:rPr>
          <w:rFonts w:cstheme="minorHAnsi"/>
          <w:sz w:val="24"/>
          <w:szCs w:val="24"/>
        </w:rPr>
        <w:t xml:space="preserve"> are undertaking a</w:t>
      </w:r>
      <w:r w:rsidR="00733D9E">
        <w:rPr>
          <w:rFonts w:cstheme="minorHAnsi"/>
          <w:sz w:val="24"/>
          <w:szCs w:val="24"/>
        </w:rPr>
        <w:t xml:space="preserve"> regional</w:t>
      </w:r>
      <w:r w:rsidRPr="00EC5DCC">
        <w:rPr>
          <w:rFonts w:cstheme="minorHAnsi"/>
          <w:sz w:val="24"/>
          <w:szCs w:val="24"/>
        </w:rPr>
        <w:t xml:space="preserve"> </w:t>
      </w:r>
      <w:r w:rsidR="003C5AC5" w:rsidRPr="00EC5DCC">
        <w:rPr>
          <w:rFonts w:cstheme="minorHAnsi"/>
          <w:sz w:val="24"/>
          <w:szCs w:val="24"/>
        </w:rPr>
        <w:t xml:space="preserve">Minamata Initial Assessment (MIA) project to enable their respective countries to determine the national requirements and needs for the successful ratification and subsequent implementation of the Minamata Convention. </w:t>
      </w:r>
      <w:r w:rsidRPr="00EC5DCC">
        <w:rPr>
          <w:rFonts w:cstheme="minorHAnsi"/>
          <w:sz w:val="24"/>
          <w:szCs w:val="24"/>
        </w:rPr>
        <w:t xml:space="preserve">To this end, the relevant ministries in each country, with support from the </w:t>
      </w:r>
      <w:r w:rsidR="00F21B5A" w:rsidRPr="00F21B5A">
        <w:rPr>
          <w:rFonts w:cstheme="minorHAnsi"/>
          <w:sz w:val="24"/>
          <w:szCs w:val="24"/>
        </w:rPr>
        <w:t>Secretariat of the Pacific Regional Environment Programme</w:t>
      </w:r>
      <w:r w:rsidR="00F21B5A">
        <w:rPr>
          <w:rFonts w:cstheme="minorHAnsi"/>
          <w:sz w:val="24"/>
          <w:szCs w:val="24"/>
        </w:rPr>
        <w:t xml:space="preserve"> </w:t>
      </w:r>
      <w:r w:rsidR="00E9581E">
        <w:rPr>
          <w:rFonts w:cstheme="minorHAnsi"/>
          <w:sz w:val="24"/>
          <w:szCs w:val="24"/>
        </w:rPr>
        <w:t>(SPREP)</w:t>
      </w:r>
      <w:r w:rsidRPr="00EC5DCC">
        <w:rPr>
          <w:rFonts w:cstheme="minorHAnsi"/>
          <w:sz w:val="24"/>
          <w:szCs w:val="24"/>
        </w:rPr>
        <w:t>, will undertake a series of activities including:</w:t>
      </w:r>
    </w:p>
    <w:p w14:paraId="3A0E2301" w14:textId="77777777" w:rsidR="00C85CCC" w:rsidRPr="00EC5DCC" w:rsidRDefault="00C85CCC" w:rsidP="00D42EAB">
      <w:pPr>
        <w:pStyle w:val="Footer"/>
        <w:spacing w:after="80"/>
        <w:rPr>
          <w:rFonts w:cstheme="minorHAnsi"/>
          <w:sz w:val="24"/>
          <w:szCs w:val="24"/>
        </w:rPr>
      </w:pPr>
    </w:p>
    <w:p w14:paraId="037E87D2" w14:textId="77777777" w:rsidR="003C5AC5" w:rsidRPr="00EC5DCC" w:rsidRDefault="00AF2D87" w:rsidP="003C5AC5">
      <w:pPr>
        <w:pStyle w:val="Footer"/>
        <w:numPr>
          <w:ilvl w:val="0"/>
          <w:numId w:val="27"/>
        </w:numPr>
        <w:spacing w:after="80"/>
        <w:rPr>
          <w:rFonts w:cstheme="minorHAnsi"/>
          <w:sz w:val="24"/>
          <w:szCs w:val="24"/>
        </w:rPr>
      </w:pPr>
      <w:r w:rsidRPr="00EC5DCC">
        <w:rPr>
          <w:rFonts w:cstheme="minorHAnsi"/>
          <w:sz w:val="24"/>
          <w:szCs w:val="24"/>
        </w:rPr>
        <w:t>Developing</w:t>
      </w:r>
      <w:r w:rsidR="003C5AC5" w:rsidRPr="00EC5DCC">
        <w:rPr>
          <w:rFonts w:cstheme="minorHAnsi"/>
          <w:sz w:val="24"/>
          <w:szCs w:val="24"/>
        </w:rPr>
        <w:t xml:space="preserve"> a mercury inventory using the UNEP mercury toolkit and strategies to identify and assess mercury contaminated sites;</w:t>
      </w:r>
    </w:p>
    <w:p w14:paraId="282D35B8" w14:textId="77777777" w:rsidR="00AF2D87" w:rsidRPr="00EC5DCC" w:rsidRDefault="00AF2D87" w:rsidP="00AF2D87">
      <w:pPr>
        <w:pStyle w:val="Footer"/>
        <w:numPr>
          <w:ilvl w:val="0"/>
          <w:numId w:val="27"/>
        </w:numPr>
        <w:spacing w:after="80"/>
        <w:rPr>
          <w:rFonts w:cstheme="minorHAnsi"/>
          <w:sz w:val="24"/>
          <w:szCs w:val="24"/>
        </w:rPr>
      </w:pPr>
      <w:r w:rsidRPr="00EC5DCC">
        <w:rPr>
          <w:rFonts w:cstheme="minorHAnsi"/>
          <w:sz w:val="24"/>
          <w:szCs w:val="24"/>
        </w:rPr>
        <w:t>Drafting a National Mercury Profile that summarizes the major sources of mercury emissions and releases in their countries, and;</w:t>
      </w:r>
    </w:p>
    <w:p w14:paraId="6B25764B" w14:textId="18E3D386" w:rsidR="009B1F3C" w:rsidRPr="00F13CC6" w:rsidRDefault="003C5AC5" w:rsidP="00F13CC6">
      <w:pPr>
        <w:pStyle w:val="Footer"/>
        <w:numPr>
          <w:ilvl w:val="0"/>
          <w:numId w:val="27"/>
        </w:numPr>
        <w:spacing w:after="80"/>
        <w:rPr>
          <w:rFonts w:cstheme="minorHAnsi"/>
          <w:sz w:val="24"/>
          <w:szCs w:val="24"/>
        </w:rPr>
      </w:pPr>
      <w:r w:rsidRPr="00EC5DCC">
        <w:rPr>
          <w:rFonts w:cstheme="minorHAnsi"/>
          <w:sz w:val="24"/>
          <w:szCs w:val="24"/>
        </w:rPr>
        <w:t>Preparation</w:t>
      </w:r>
      <w:r w:rsidR="00733D9E">
        <w:rPr>
          <w:rFonts w:cstheme="minorHAnsi"/>
          <w:sz w:val="24"/>
          <w:szCs w:val="24"/>
        </w:rPr>
        <w:t xml:space="preserve"> and </w:t>
      </w:r>
      <w:r w:rsidRPr="00EC5DCC">
        <w:rPr>
          <w:rFonts w:cstheme="minorHAnsi"/>
          <w:sz w:val="24"/>
          <w:szCs w:val="24"/>
        </w:rPr>
        <w:t xml:space="preserve">validation of </w:t>
      </w:r>
      <w:r w:rsidR="00AF2D87" w:rsidRPr="00EC5DCC">
        <w:rPr>
          <w:rFonts w:cstheme="minorHAnsi"/>
          <w:sz w:val="24"/>
          <w:szCs w:val="24"/>
        </w:rPr>
        <w:t xml:space="preserve">a </w:t>
      </w:r>
      <w:r w:rsidRPr="00EC5DCC">
        <w:rPr>
          <w:rFonts w:cstheme="minorHAnsi"/>
          <w:sz w:val="24"/>
          <w:szCs w:val="24"/>
        </w:rPr>
        <w:t xml:space="preserve">national </w:t>
      </w:r>
      <w:r w:rsidR="00733D9E">
        <w:rPr>
          <w:rFonts w:cstheme="minorHAnsi"/>
          <w:sz w:val="24"/>
          <w:szCs w:val="24"/>
        </w:rPr>
        <w:t>MIA</w:t>
      </w:r>
      <w:r w:rsidRPr="00EC5DCC">
        <w:rPr>
          <w:rFonts w:cstheme="minorHAnsi"/>
          <w:sz w:val="24"/>
          <w:szCs w:val="24"/>
        </w:rPr>
        <w:t xml:space="preserve"> report </w:t>
      </w:r>
      <w:r w:rsidR="00733D9E">
        <w:rPr>
          <w:rFonts w:cstheme="minorHAnsi"/>
          <w:sz w:val="24"/>
          <w:szCs w:val="24"/>
        </w:rPr>
        <w:t>including</w:t>
      </w:r>
      <w:r w:rsidRPr="00EC5DCC">
        <w:rPr>
          <w:rFonts w:cstheme="minorHAnsi"/>
          <w:sz w:val="24"/>
          <w:szCs w:val="24"/>
        </w:rPr>
        <w:t xml:space="preserve"> </w:t>
      </w:r>
      <w:r w:rsidR="00390687">
        <w:rPr>
          <w:rFonts w:cstheme="minorHAnsi"/>
          <w:sz w:val="24"/>
          <w:szCs w:val="24"/>
        </w:rPr>
        <w:t xml:space="preserve">an assessment and analysis of national institutional and legislative gaps in mercury management, </w:t>
      </w:r>
      <w:r w:rsidRPr="00EC5DCC">
        <w:rPr>
          <w:rFonts w:cstheme="minorHAnsi"/>
          <w:sz w:val="24"/>
          <w:szCs w:val="24"/>
        </w:rPr>
        <w:t>implementation of awareness raising activities and dissemination of results</w:t>
      </w:r>
      <w:r w:rsidR="00733D9E">
        <w:rPr>
          <w:rFonts w:cstheme="minorHAnsi"/>
          <w:sz w:val="24"/>
          <w:szCs w:val="24"/>
        </w:rPr>
        <w:t>.</w:t>
      </w:r>
    </w:p>
    <w:p w14:paraId="2978AA19" w14:textId="77777777" w:rsidR="00F13CC6" w:rsidRPr="00F13CC6" w:rsidRDefault="00F13CC6" w:rsidP="00F13CC6">
      <w:pPr>
        <w:pStyle w:val="Footer"/>
        <w:spacing w:after="80"/>
        <w:ind w:left="720"/>
        <w:rPr>
          <w:rFonts w:cstheme="minorHAnsi"/>
          <w:sz w:val="24"/>
          <w:szCs w:val="24"/>
        </w:rPr>
      </w:pPr>
    </w:p>
    <w:p w14:paraId="17380A98" w14:textId="69F9D6FB" w:rsidR="00A00326" w:rsidRPr="00EC5DCC" w:rsidRDefault="00877436" w:rsidP="00614EFC">
      <w:pPr>
        <w:rPr>
          <w:rFonts w:cstheme="minorHAnsi"/>
          <w:sz w:val="24"/>
          <w:szCs w:val="24"/>
        </w:rPr>
      </w:pPr>
      <w:r w:rsidRPr="00EC5DCC">
        <w:rPr>
          <w:rFonts w:cstheme="minorHAnsi"/>
          <w:sz w:val="24"/>
          <w:szCs w:val="24"/>
          <w:lang w:val="en-IN"/>
        </w:rPr>
        <w:t xml:space="preserve">The work plan included here provides an outline of the major activities that will be conducted by the team of consultants from BRI and </w:t>
      </w:r>
      <w:r w:rsidR="00614EFC" w:rsidRPr="00EC5DCC">
        <w:rPr>
          <w:rFonts w:cstheme="minorHAnsi"/>
          <w:sz w:val="24"/>
          <w:szCs w:val="24"/>
          <w:lang w:val="en-IN"/>
        </w:rPr>
        <w:t>a detailed G</w:t>
      </w:r>
      <w:r w:rsidR="0064017F">
        <w:rPr>
          <w:rFonts w:cstheme="minorHAnsi"/>
          <w:sz w:val="24"/>
          <w:szCs w:val="24"/>
          <w:lang w:val="en-IN"/>
        </w:rPr>
        <w:t>antt</w:t>
      </w:r>
      <w:r w:rsidR="00614EFC" w:rsidRPr="00EC5DCC">
        <w:rPr>
          <w:rFonts w:cstheme="minorHAnsi"/>
          <w:sz w:val="24"/>
          <w:szCs w:val="24"/>
          <w:lang w:val="en-IN"/>
        </w:rPr>
        <w:t xml:space="preserve"> chart summarizing the major project activities as well as the responsible parties and a timeline for all activities.</w:t>
      </w:r>
    </w:p>
    <w:p w14:paraId="5BFB19B2" w14:textId="77777777" w:rsidR="000E1AD9" w:rsidRDefault="000E1AD9" w:rsidP="000E1AD9">
      <w:pPr>
        <w:spacing w:after="0"/>
        <w:rPr>
          <w:rFonts w:ascii="Times New Roman" w:hAnsi="Times New Roman"/>
          <w:b/>
        </w:rPr>
      </w:pPr>
    </w:p>
    <w:p w14:paraId="4B15AF82" w14:textId="77777777" w:rsidR="00A00326" w:rsidRDefault="00A00326" w:rsidP="000E1AD9">
      <w:pPr>
        <w:spacing w:after="0"/>
        <w:rPr>
          <w:rFonts w:ascii="Times New Roman" w:hAnsi="Times New Roman"/>
          <w:b/>
        </w:rPr>
      </w:pPr>
    </w:p>
    <w:p w14:paraId="19FAF302" w14:textId="77777777" w:rsidR="00A00326" w:rsidRDefault="00A00326" w:rsidP="000E1AD9">
      <w:pPr>
        <w:spacing w:after="0"/>
        <w:rPr>
          <w:rFonts w:ascii="Times New Roman" w:hAnsi="Times New Roman"/>
          <w:b/>
        </w:rPr>
      </w:pPr>
    </w:p>
    <w:p w14:paraId="4B4952F7" w14:textId="77777777" w:rsidR="00A00326" w:rsidRDefault="00A00326" w:rsidP="000E1AD9">
      <w:pPr>
        <w:spacing w:after="0"/>
        <w:rPr>
          <w:rFonts w:ascii="Times New Roman" w:hAnsi="Times New Roman"/>
          <w:b/>
        </w:rPr>
      </w:pPr>
    </w:p>
    <w:p w14:paraId="608C1874" w14:textId="77777777" w:rsidR="003A5B06" w:rsidRDefault="003A5B06" w:rsidP="00432936">
      <w:pPr>
        <w:pStyle w:val="Heading1"/>
        <w:numPr>
          <w:ilvl w:val="0"/>
          <w:numId w:val="9"/>
        </w:numPr>
        <w:spacing w:before="480" w:after="0"/>
        <w:jc w:val="both"/>
      </w:pPr>
      <w:r>
        <w:t>Introduction, Scope of Work</w:t>
      </w:r>
    </w:p>
    <w:p w14:paraId="79931492" w14:textId="77777777" w:rsidR="003A5B06" w:rsidRDefault="003A5B06" w:rsidP="003A5B06">
      <w:pPr>
        <w:jc w:val="both"/>
      </w:pPr>
    </w:p>
    <w:p w14:paraId="1A891D9A" w14:textId="1FB7A6E8" w:rsidR="00A00326" w:rsidRPr="00EC5DCC" w:rsidRDefault="003A5B06" w:rsidP="003A5B06">
      <w:pPr>
        <w:jc w:val="both"/>
        <w:rPr>
          <w:sz w:val="24"/>
          <w:szCs w:val="24"/>
        </w:rPr>
      </w:pPr>
      <w:r w:rsidRPr="00EC5DCC">
        <w:rPr>
          <w:sz w:val="24"/>
          <w:szCs w:val="24"/>
        </w:rPr>
        <w:t>This document repr</w:t>
      </w:r>
      <w:r w:rsidR="00A00326" w:rsidRPr="00EC5DCC">
        <w:rPr>
          <w:sz w:val="24"/>
          <w:szCs w:val="24"/>
        </w:rPr>
        <w:t>esents the work plan for the UNEP</w:t>
      </w:r>
      <w:r w:rsidRPr="00EC5DCC">
        <w:rPr>
          <w:sz w:val="24"/>
          <w:szCs w:val="24"/>
        </w:rPr>
        <w:t>/GEF project</w:t>
      </w:r>
      <w:r w:rsidR="00A00326" w:rsidRPr="00EC5DCC">
        <w:rPr>
          <w:sz w:val="24"/>
          <w:szCs w:val="24"/>
        </w:rPr>
        <w:t xml:space="preserve"> for </w:t>
      </w:r>
      <w:r w:rsidR="00A00326" w:rsidRPr="00EC5DCC">
        <w:rPr>
          <w:b/>
          <w:i/>
          <w:sz w:val="24"/>
          <w:szCs w:val="24"/>
        </w:rPr>
        <w:t xml:space="preserve">Inventory Development in the </w:t>
      </w:r>
      <w:r w:rsidR="000649C2">
        <w:rPr>
          <w:b/>
          <w:i/>
          <w:sz w:val="24"/>
          <w:szCs w:val="24"/>
        </w:rPr>
        <w:t>South Pacific</w:t>
      </w:r>
      <w:r w:rsidR="00A00326" w:rsidRPr="00EC5DCC">
        <w:rPr>
          <w:b/>
          <w:i/>
          <w:sz w:val="24"/>
          <w:szCs w:val="24"/>
        </w:rPr>
        <w:t xml:space="preserve"> Region</w:t>
      </w:r>
      <w:r w:rsidR="00A00326" w:rsidRPr="00EC5DCC">
        <w:rPr>
          <w:sz w:val="24"/>
          <w:szCs w:val="24"/>
        </w:rPr>
        <w:t xml:space="preserve"> that is part of the larger regional Minamata Initial Assessment. The project includes </w:t>
      </w:r>
      <w:r w:rsidR="000649C2">
        <w:rPr>
          <w:sz w:val="24"/>
          <w:szCs w:val="24"/>
        </w:rPr>
        <w:t>5</w:t>
      </w:r>
      <w:r w:rsidR="00A00326" w:rsidRPr="00EC5DCC">
        <w:rPr>
          <w:sz w:val="24"/>
          <w:szCs w:val="24"/>
        </w:rPr>
        <w:t xml:space="preserve"> </w:t>
      </w:r>
      <w:r w:rsidR="00931F1A">
        <w:rPr>
          <w:sz w:val="24"/>
          <w:szCs w:val="24"/>
        </w:rPr>
        <w:t>participating</w:t>
      </w:r>
      <w:r w:rsidR="00A00326" w:rsidRPr="00EC5DCC">
        <w:rPr>
          <w:sz w:val="24"/>
          <w:szCs w:val="24"/>
        </w:rPr>
        <w:t xml:space="preserve"> countries:</w:t>
      </w:r>
      <w:r w:rsidR="005E1D57">
        <w:rPr>
          <w:rFonts w:cstheme="minorHAnsi"/>
          <w:sz w:val="24"/>
          <w:szCs w:val="24"/>
        </w:rPr>
        <w:t xml:space="preserve"> Cook Islands</w:t>
      </w:r>
      <w:r w:rsidR="005E1D57" w:rsidRPr="00EC5DCC">
        <w:rPr>
          <w:rFonts w:cstheme="minorHAnsi"/>
          <w:sz w:val="24"/>
          <w:szCs w:val="24"/>
        </w:rPr>
        <w:t>,</w:t>
      </w:r>
      <w:r w:rsidR="005E1D57">
        <w:rPr>
          <w:rFonts w:cstheme="minorHAnsi"/>
          <w:sz w:val="24"/>
          <w:szCs w:val="24"/>
        </w:rPr>
        <w:t xml:space="preserve"> Kiribati, Palau, Tonga, and Vanuatu</w:t>
      </w:r>
      <w:r w:rsidR="00A00326" w:rsidRPr="00EC5DCC">
        <w:rPr>
          <w:sz w:val="24"/>
          <w:szCs w:val="24"/>
        </w:rPr>
        <w:t xml:space="preserve">. The overall objective of the project is to coordinate and supervise the national mercury inventory process in each of the </w:t>
      </w:r>
      <w:r w:rsidR="00D4413E">
        <w:rPr>
          <w:sz w:val="24"/>
          <w:szCs w:val="24"/>
        </w:rPr>
        <w:t>5</w:t>
      </w:r>
      <w:r w:rsidR="00A00326" w:rsidRPr="00EC5DCC">
        <w:rPr>
          <w:sz w:val="24"/>
          <w:szCs w:val="24"/>
        </w:rPr>
        <w:t xml:space="preserve"> participating countries and assist with the preparation of a National Mercury Profile summarizing the results of the inventory. In addition, a final project document, the Minamata Initial Assessment report will be developed as will a strategy for identifying sites where contamination from mercury and mercury-containing compounds may be of elevated risk. </w:t>
      </w:r>
    </w:p>
    <w:p w14:paraId="19415A77" w14:textId="77777777" w:rsidR="00A00326" w:rsidRPr="00EC5DCC" w:rsidRDefault="00C03741" w:rsidP="003A5B06">
      <w:pPr>
        <w:jc w:val="both"/>
        <w:rPr>
          <w:sz w:val="24"/>
          <w:szCs w:val="24"/>
        </w:rPr>
      </w:pPr>
      <w:r w:rsidRPr="00EC5DCC">
        <w:rPr>
          <w:sz w:val="24"/>
          <w:szCs w:val="24"/>
        </w:rPr>
        <w:t xml:space="preserve">Tasks to be </w:t>
      </w:r>
      <w:r w:rsidR="00A00326" w:rsidRPr="00EC5DCC">
        <w:rPr>
          <w:sz w:val="24"/>
          <w:szCs w:val="24"/>
        </w:rPr>
        <w:t>carried out</w:t>
      </w:r>
      <w:r w:rsidRPr="00EC5DCC">
        <w:rPr>
          <w:sz w:val="24"/>
          <w:szCs w:val="24"/>
        </w:rPr>
        <w:t>,</w:t>
      </w:r>
      <w:r w:rsidR="00A00326" w:rsidRPr="00EC5DCC">
        <w:rPr>
          <w:sz w:val="24"/>
          <w:szCs w:val="24"/>
        </w:rPr>
        <w:t xml:space="preserve"> in parallel</w:t>
      </w:r>
      <w:r w:rsidRPr="00EC5DCC">
        <w:rPr>
          <w:sz w:val="24"/>
          <w:szCs w:val="24"/>
        </w:rPr>
        <w:t>, in each country</w:t>
      </w:r>
      <w:r w:rsidR="00A00326" w:rsidRPr="00EC5DCC">
        <w:rPr>
          <w:sz w:val="24"/>
          <w:szCs w:val="24"/>
        </w:rPr>
        <w:t xml:space="preserve"> will include:</w:t>
      </w:r>
    </w:p>
    <w:p w14:paraId="7B383F93" w14:textId="423B21C8" w:rsidR="00A00326" w:rsidRDefault="006853FC" w:rsidP="00C03741">
      <w:pPr>
        <w:pStyle w:val="ListParagraph"/>
        <w:numPr>
          <w:ilvl w:val="0"/>
          <w:numId w:val="28"/>
        </w:numPr>
        <w:jc w:val="both"/>
        <w:rPr>
          <w:sz w:val="24"/>
          <w:szCs w:val="24"/>
        </w:rPr>
      </w:pPr>
      <w:r>
        <w:rPr>
          <w:sz w:val="24"/>
          <w:szCs w:val="24"/>
        </w:rPr>
        <w:t>S</w:t>
      </w:r>
      <w:r w:rsidR="00C03741" w:rsidRPr="00EC5DCC">
        <w:rPr>
          <w:sz w:val="24"/>
          <w:szCs w:val="24"/>
        </w:rPr>
        <w:t xml:space="preserve">upervision of </w:t>
      </w:r>
      <w:r w:rsidR="00A00326" w:rsidRPr="00EC5DCC">
        <w:rPr>
          <w:sz w:val="24"/>
          <w:szCs w:val="24"/>
        </w:rPr>
        <w:t>Inventory Data Collection</w:t>
      </w:r>
    </w:p>
    <w:p w14:paraId="56C3C07D" w14:textId="150621BA" w:rsidR="00C200B4" w:rsidRPr="00EC5DCC" w:rsidRDefault="00C200B4" w:rsidP="00C03741">
      <w:pPr>
        <w:pStyle w:val="ListParagraph"/>
        <w:numPr>
          <w:ilvl w:val="0"/>
          <w:numId w:val="28"/>
        </w:numPr>
        <w:jc w:val="both"/>
        <w:rPr>
          <w:sz w:val="24"/>
          <w:szCs w:val="24"/>
        </w:rPr>
      </w:pPr>
      <w:r>
        <w:rPr>
          <w:sz w:val="24"/>
          <w:szCs w:val="24"/>
        </w:rPr>
        <w:t>Sampling and analyses of cosmetics, fish, and hair (informally</w:t>
      </w:r>
      <w:r w:rsidR="0010166A">
        <w:rPr>
          <w:sz w:val="24"/>
          <w:szCs w:val="24"/>
        </w:rPr>
        <w:t xml:space="preserve"> if requested</w:t>
      </w:r>
      <w:r>
        <w:rPr>
          <w:sz w:val="24"/>
          <w:szCs w:val="24"/>
        </w:rPr>
        <w:t>) for mercury</w:t>
      </w:r>
    </w:p>
    <w:p w14:paraId="2DE05D4D" w14:textId="66115A1B" w:rsidR="00C200B4" w:rsidRPr="00C200B4" w:rsidRDefault="00A00326" w:rsidP="00C200B4">
      <w:pPr>
        <w:pStyle w:val="ListParagraph"/>
        <w:numPr>
          <w:ilvl w:val="0"/>
          <w:numId w:val="28"/>
        </w:numPr>
        <w:jc w:val="both"/>
        <w:rPr>
          <w:sz w:val="24"/>
          <w:szCs w:val="24"/>
        </w:rPr>
      </w:pPr>
      <w:r w:rsidRPr="00EC5DCC">
        <w:rPr>
          <w:sz w:val="24"/>
          <w:szCs w:val="24"/>
        </w:rPr>
        <w:t>Identification of Contaminated Sites</w:t>
      </w:r>
    </w:p>
    <w:p w14:paraId="6E3E28F4" w14:textId="627D637D" w:rsidR="00A00326" w:rsidRDefault="00A00326" w:rsidP="00C03741">
      <w:pPr>
        <w:pStyle w:val="ListParagraph"/>
        <w:numPr>
          <w:ilvl w:val="0"/>
          <w:numId w:val="28"/>
        </w:numPr>
        <w:jc w:val="both"/>
        <w:rPr>
          <w:sz w:val="24"/>
          <w:szCs w:val="24"/>
        </w:rPr>
      </w:pPr>
      <w:r w:rsidRPr="00EC5DCC">
        <w:rPr>
          <w:sz w:val="24"/>
          <w:szCs w:val="24"/>
        </w:rPr>
        <w:t>Review of Inventory Data Spreadsheet</w:t>
      </w:r>
    </w:p>
    <w:p w14:paraId="61B6062F" w14:textId="6939B523" w:rsidR="00C03741" w:rsidRDefault="00C03741" w:rsidP="00C03741">
      <w:pPr>
        <w:pStyle w:val="ListParagraph"/>
        <w:numPr>
          <w:ilvl w:val="0"/>
          <w:numId w:val="28"/>
        </w:numPr>
        <w:jc w:val="both"/>
        <w:rPr>
          <w:sz w:val="24"/>
          <w:szCs w:val="24"/>
        </w:rPr>
      </w:pPr>
      <w:r w:rsidRPr="00EC5DCC">
        <w:rPr>
          <w:sz w:val="24"/>
          <w:szCs w:val="24"/>
        </w:rPr>
        <w:t>Drafting of National Mercury Profile</w:t>
      </w:r>
    </w:p>
    <w:p w14:paraId="68E67833" w14:textId="77777777" w:rsidR="003354BB" w:rsidRPr="00CC5271" w:rsidRDefault="003354BB" w:rsidP="003354BB">
      <w:pPr>
        <w:pStyle w:val="ListParagraph"/>
        <w:numPr>
          <w:ilvl w:val="0"/>
          <w:numId w:val="28"/>
        </w:numPr>
        <w:jc w:val="both"/>
        <w:rPr>
          <w:sz w:val="24"/>
          <w:szCs w:val="24"/>
        </w:rPr>
      </w:pPr>
      <w:r w:rsidRPr="00CC5271">
        <w:rPr>
          <w:sz w:val="24"/>
          <w:szCs w:val="24"/>
        </w:rPr>
        <w:t>Review of Institutional and Legislative Gap Analyses</w:t>
      </w:r>
    </w:p>
    <w:p w14:paraId="7CD6476E" w14:textId="699AC241" w:rsidR="00A00326" w:rsidRPr="00EC5DCC" w:rsidRDefault="00A50383" w:rsidP="00C03741">
      <w:pPr>
        <w:pStyle w:val="ListParagraph"/>
        <w:numPr>
          <w:ilvl w:val="0"/>
          <w:numId w:val="28"/>
        </w:numPr>
        <w:jc w:val="both"/>
        <w:rPr>
          <w:sz w:val="24"/>
          <w:szCs w:val="24"/>
        </w:rPr>
      </w:pPr>
      <w:r>
        <w:rPr>
          <w:sz w:val="24"/>
          <w:szCs w:val="24"/>
        </w:rPr>
        <w:t xml:space="preserve">Review of </w:t>
      </w:r>
      <w:r w:rsidR="00A00326" w:rsidRPr="00EC5DCC">
        <w:rPr>
          <w:sz w:val="24"/>
          <w:szCs w:val="24"/>
        </w:rPr>
        <w:t>National Minamata Initial Assessment report</w:t>
      </w:r>
    </w:p>
    <w:p w14:paraId="437F491D" w14:textId="784AD383" w:rsidR="00A00326" w:rsidRPr="00EC5DCC" w:rsidRDefault="00A00326" w:rsidP="00C03741">
      <w:pPr>
        <w:pStyle w:val="ListParagraph"/>
        <w:numPr>
          <w:ilvl w:val="0"/>
          <w:numId w:val="28"/>
        </w:numPr>
        <w:jc w:val="both"/>
        <w:rPr>
          <w:sz w:val="24"/>
          <w:szCs w:val="24"/>
        </w:rPr>
      </w:pPr>
      <w:r w:rsidRPr="00EC5DCC">
        <w:rPr>
          <w:sz w:val="24"/>
          <w:szCs w:val="24"/>
        </w:rPr>
        <w:t>Dissemination of Results</w:t>
      </w:r>
      <w:r w:rsidR="00370A7C">
        <w:rPr>
          <w:sz w:val="24"/>
          <w:szCs w:val="24"/>
        </w:rPr>
        <w:t xml:space="preserve"> with country-specific communication pieces</w:t>
      </w:r>
    </w:p>
    <w:p w14:paraId="0524A4A5" w14:textId="58A171D7" w:rsidR="00C03741" w:rsidRPr="00EC5DCC" w:rsidRDefault="00C03741" w:rsidP="003A5B06">
      <w:pPr>
        <w:jc w:val="both"/>
        <w:rPr>
          <w:sz w:val="24"/>
          <w:szCs w:val="24"/>
        </w:rPr>
      </w:pPr>
      <w:r w:rsidRPr="00EC5DCC">
        <w:rPr>
          <w:sz w:val="24"/>
          <w:szCs w:val="24"/>
        </w:rPr>
        <w:t xml:space="preserve">The submission of this work plan is considered the initial primary task for the project. It </w:t>
      </w:r>
      <w:r w:rsidR="00370A7C">
        <w:rPr>
          <w:sz w:val="24"/>
          <w:szCs w:val="24"/>
        </w:rPr>
        <w:t>is</w:t>
      </w:r>
      <w:r w:rsidRPr="00EC5DCC">
        <w:rPr>
          <w:sz w:val="24"/>
          <w:szCs w:val="24"/>
        </w:rPr>
        <w:t xml:space="preserve"> submitted to </w:t>
      </w:r>
      <w:r w:rsidR="00D4413E">
        <w:rPr>
          <w:sz w:val="24"/>
          <w:szCs w:val="24"/>
        </w:rPr>
        <w:t>SPREP</w:t>
      </w:r>
      <w:r w:rsidRPr="00EC5DCC">
        <w:rPr>
          <w:sz w:val="24"/>
          <w:szCs w:val="24"/>
        </w:rPr>
        <w:t xml:space="preserve"> </w:t>
      </w:r>
      <w:r w:rsidR="00297086" w:rsidRPr="00EC5DCC">
        <w:rPr>
          <w:sz w:val="24"/>
          <w:szCs w:val="24"/>
        </w:rPr>
        <w:t>for approval</w:t>
      </w:r>
      <w:r w:rsidRPr="00EC5DCC">
        <w:rPr>
          <w:sz w:val="24"/>
          <w:szCs w:val="24"/>
        </w:rPr>
        <w:t xml:space="preserve">. Once approved, the document and the tasks and activities outlined herein will serve as the primary organizational document for the execution of the inventory and subsequent </w:t>
      </w:r>
      <w:r w:rsidR="00B86C4E">
        <w:rPr>
          <w:sz w:val="24"/>
          <w:szCs w:val="24"/>
        </w:rPr>
        <w:t xml:space="preserve">enabling </w:t>
      </w:r>
      <w:r w:rsidRPr="00EC5DCC">
        <w:rPr>
          <w:sz w:val="24"/>
          <w:szCs w:val="24"/>
        </w:rPr>
        <w:t>activities. Below is a brief summary of the activities that will be conducted to complete the above-mentioned tasks.</w:t>
      </w:r>
    </w:p>
    <w:p w14:paraId="69CD0FE0" w14:textId="77777777" w:rsidR="00C03741" w:rsidRPr="00EC5DCC" w:rsidRDefault="00C03741" w:rsidP="003A5B06">
      <w:pPr>
        <w:jc w:val="both"/>
        <w:rPr>
          <w:b/>
          <w:sz w:val="28"/>
          <w:szCs w:val="28"/>
        </w:rPr>
      </w:pPr>
      <w:r w:rsidRPr="00EC5DCC">
        <w:rPr>
          <w:b/>
          <w:sz w:val="28"/>
          <w:szCs w:val="28"/>
        </w:rPr>
        <w:t>Task 1. Submission of approved work plan</w:t>
      </w:r>
    </w:p>
    <w:p w14:paraId="7AE6FE94" w14:textId="2A5FA179" w:rsidR="00C03741" w:rsidRPr="00EC5DCC" w:rsidRDefault="00C03741" w:rsidP="00C03741">
      <w:pPr>
        <w:jc w:val="both"/>
        <w:rPr>
          <w:sz w:val="24"/>
          <w:szCs w:val="24"/>
        </w:rPr>
      </w:pPr>
      <w:r>
        <w:tab/>
      </w:r>
      <w:r w:rsidRPr="00EC5DCC">
        <w:rPr>
          <w:sz w:val="24"/>
          <w:szCs w:val="24"/>
        </w:rPr>
        <w:t xml:space="preserve">The </w:t>
      </w:r>
      <w:r w:rsidR="00A014FC">
        <w:rPr>
          <w:sz w:val="24"/>
          <w:szCs w:val="24"/>
        </w:rPr>
        <w:t xml:space="preserve">approved </w:t>
      </w:r>
      <w:r w:rsidRPr="00EC5DCC">
        <w:rPr>
          <w:sz w:val="24"/>
          <w:szCs w:val="24"/>
        </w:rPr>
        <w:t xml:space="preserve">draft work plan will be presented at the inception workshops in each country for approval by members of the National Steering Group, the National Project Coordinator </w:t>
      </w:r>
      <w:r w:rsidR="008836F4" w:rsidRPr="00EC5DCC">
        <w:rPr>
          <w:sz w:val="24"/>
          <w:szCs w:val="24"/>
        </w:rPr>
        <w:t xml:space="preserve">(NPC) </w:t>
      </w:r>
      <w:r w:rsidRPr="00EC5DCC">
        <w:rPr>
          <w:sz w:val="24"/>
          <w:szCs w:val="24"/>
        </w:rPr>
        <w:t xml:space="preserve">and </w:t>
      </w:r>
      <w:r w:rsidR="00D4413E">
        <w:rPr>
          <w:sz w:val="24"/>
          <w:szCs w:val="24"/>
        </w:rPr>
        <w:t>SPREP</w:t>
      </w:r>
      <w:r w:rsidRPr="00EC5DCC">
        <w:rPr>
          <w:sz w:val="24"/>
          <w:szCs w:val="24"/>
        </w:rPr>
        <w:t xml:space="preserve">. Upon approval, a final work plan will be submitted to </w:t>
      </w:r>
      <w:r w:rsidR="00D4413E">
        <w:rPr>
          <w:sz w:val="24"/>
          <w:szCs w:val="24"/>
        </w:rPr>
        <w:t>SPREP</w:t>
      </w:r>
      <w:r w:rsidRPr="00EC5DCC">
        <w:rPr>
          <w:sz w:val="24"/>
          <w:szCs w:val="24"/>
        </w:rPr>
        <w:t>.</w:t>
      </w:r>
    </w:p>
    <w:p w14:paraId="0C1CC1BC" w14:textId="77777777" w:rsidR="00A014FC" w:rsidRDefault="00A014FC" w:rsidP="003A5B06">
      <w:pPr>
        <w:jc w:val="both"/>
        <w:rPr>
          <w:b/>
          <w:sz w:val="28"/>
          <w:szCs w:val="28"/>
        </w:rPr>
      </w:pPr>
    </w:p>
    <w:p w14:paraId="45C68E42" w14:textId="77777777" w:rsidR="00A014FC" w:rsidRDefault="00A014FC" w:rsidP="003A5B06">
      <w:pPr>
        <w:jc w:val="both"/>
        <w:rPr>
          <w:b/>
          <w:sz w:val="28"/>
          <w:szCs w:val="28"/>
        </w:rPr>
      </w:pPr>
    </w:p>
    <w:p w14:paraId="666CA202" w14:textId="4640FA13" w:rsidR="00A00326" w:rsidRPr="00EC5DCC" w:rsidRDefault="00C03741" w:rsidP="003A5B06">
      <w:pPr>
        <w:jc w:val="both"/>
        <w:rPr>
          <w:b/>
          <w:sz w:val="28"/>
          <w:szCs w:val="28"/>
        </w:rPr>
      </w:pPr>
      <w:r w:rsidRPr="00EC5DCC">
        <w:rPr>
          <w:b/>
          <w:sz w:val="28"/>
          <w:szCs w:val="28"/>
        </w:rPr>
        <w:lastRenderedPageBreak/>
        <w:t>Task 2. Supervision of Inventory Data Collection</w:t>
      </w:r>
    </w:p>
    <w:p w14:paraId="70901DC9" w14:textId="421C1610" w:rsidR="008836F4" w:rsidRPr="00EC5DCC" w:rsidRDefault="00C03741" w:rsidP="008836F4">
      <w:pPr>
        <w:jc w:val="both"/>
        <w:rPr>
          <w:sz w:val="24"/>
          <w:szCs w:val="24"/>
        </w:rPr>
      </w:pPr>
      <w:r>
        <w:tab/>
      </w:r>
      <w:r w:rsidRPr="00EC5DCC">
        <w:rPr>
          <w:sz w:val="24"/>
          <w:szCs w:val="24"/>
        </w:rPr>
        <w:t xml:space="preserve">Inception workshops </w:t>
      </w:r>
      <w:r w:rsidR="007A3D1E">
        <w:rPr>
          <w:sz w:val="24"/>
          <w:szCs w:val="24"/>
        </w:rPr>
        <w:t>and inventory training</w:t>
      </w:r>
      <w:r w:rsidR="00B86C4E">
        <w:rPr>
          <w:sz w:val="24"/>
          <w:szCs w:val="24"/>
        </w:rPr>
        <w:t>s</w:t>
      </w:r>
      <w:r w:rsidR="007A3D1E">
        <w:rPr>
          <w:sz w:val="24"/>
          <w:szCs w:val="24"/>
        </w:rPr>
        <w:t xml:space="preserve"> </w:t>
      </w:r>
      <w:r w:rsidRPr="00EC5DCC">
        <w:rPr>
          <w:sz w:val="24"/>
          <w:szCs w:val="24"/>
        </w:rPr>
        <w:t xml:space="preserve">will be held in each participating country. Prior to these meetings </w:t>
      </w:r>
      <w:r w:rsidR="008836F4" w:rsidRPr="00EC5DCC">
        <w:rPr>
          <w:sz w:val="24"/>
          <w:szCs w:val="24"/>
        </w:rPr>
        <w:t>the NPC</w:t>
      </w:r>
      <w:r w:rsidRPr="00EC5DCC">
        <w:rPr>
          <w:sz w:val="24"/>
          <w:szCs w:val="24"/>
        </w:rPr>
        <w:t xml:space="preserve"> will </w:t>
      </w:r>
      <w:r w:rsidR="00C200B4">
        <w:rPr>
          <w:sz w:val="24"/>
          <w:szCs w:val="24"/>
        </w:rPr>
        <w:t>be familiar with</w:t>
      </w:r>
      <w:r w:rsidRPr="00EC5DCC">
        <w:rPr>
          <w:sz w:val="24"/>
          <w:szCs w:val="24"/>
        </w:rPr>
        <w:t xml:space="preserve"> the MercuryLearn Training program developed by UNITAR and UNEP (access via: http://mercurylearn.unitar.org/). This on-line training will provide the </w:t>
      </w:r>
      <w:r w:rsidR="00B86C4E">
        <w:rPr>
          <w:sz w:val="24"/>
          <w:szCs w:val="24"/>
        </w:rPr>
        <w:t>NPC w</w:t>
      </w:r>
      <w:r w:rsidRPr="00EC5DCC">
        <w:rPr>
          <w:sz w:val="24"/>
          <w:szCs w:val="24"/>
        </w:rPr>
        <w:t xml:space="preserve">ith important background information on concepts and methods for data collection needed for the mercury inventory. </w:t>
      </w:r>
      <w:r w:rsidR="008836F4" w:rsidRPr="00EC5DCC">
        <w:rPr>
          <w:sz w:val="24"/>
          <w:szCs w:val="24"/>
        </w:rPr>
        <w:t>Efforts will be made to review necessary methods and approaches for data</w:t>
      </w:r>
      <w:r w:rsidR="008836F4" w:rsidRPr="00EC5DCC">
        <w:rPr>
          <w:rFonts w:ascii="Times New Roman" w:hAnsi="Times New Roman"/>
          <w:sz w:val="24"/>
          <w:szCs w:val="24"/>
        </w:rPr>
        <w:t xml:space="preserve"> </w:t>
      </w:r>
      <w:r w:rsidR="008836F4" w:rsidRPr="00EC5DCC">
        <w:rPr>
          <w:sz w:val="24"/>
          <w:szCs w:val="24"/>
        </w:rPr>
        <w:t xml:space="preserve">collection related to the mercury inventory. Data collection protocols and questionnaires will be developed as needed to assist with data collection. </w:t>
      </w:r>
    </w:p>
    <w:p w14:paraId="63D399E9" w14:textId="40E2186C" w:rsidR="008836F4" w:rsidRPr="00EC5DCC" w:rsidRDefault="008836F4" w:rsidP="008836F4">
      <w:pPr>
        <w:jc w:val="both"/>
        <w:rPr>
          <w:sz w:val="24"/>
          <w:szCs w:val="24"/>
        </w:rPr>
      </w:pPr>
      <w:r w:rsidRPr="00EC5DCC">
        <w:rPr>
          <w:sz w:val="24"/>
          <w:szCs w:val="24"/>
        </w:rPr>
        <w:tab/>
        <w:t>Following the inception workshop</w:t>
      </w:r>
      <w:r w:rsidR="00B86C4E">
        <w:rPr>
          <w:sz w:val="24"/>
          <w:szCs w:val="24"/>
        </w:rPr>
        <w:t xml:space="preserve"> and inventory training</w:t>
      </w:r>
      <w:r w:rsidR="00E64B70">
        <w:rPr>
          <w:sz w:val="24"/>
          <w:szCs w:val="24"/>
        </w:rPr>
        <w:t xml:space="preserve"> based on UNEP’s </w:t>
      </w:r>
      <w:r w:rsidR="00E64B70" w:rsidRPr="00E64B70">
        <w:rPr>
          <w:i/>
          <w:sz w:val="24"/>
          <w:szCs w:val="24"/>
        </w:rPr>
        <w:t>Toolkit for the Identification and Quantification of Mercury Release</w:t>
      </w:r>
      <w:r w:rsidR="00E64B70">
        <w:rPr>
          <w:i/>
          <w:sz w:val="24"/>
          <w:szCs w:val="24"/>
        </w:rPr>
        <w:t>s</w:t>
      </w:r>
      <w:r w:rsidRPr="00EC5DCC">
        <w:rPr>
          <w:sz w:val="24"/>
          <w:szCs w:val="24"/>
        </w:rPr>
        <w:t xml:space="preserve">, off-site supervision will include </w:t>
      </w:r>
      <w:r w:rsidR="00C200B4">
        <w:rPr>
          <w:sz w:val="24"/>
          <w:szCs w:val="24"/>
        </w:rPr>
        <w:t>regular</w:t>
      </w:r>
      <w:r w:rsidRPr="00EC5DCC">
        <w:rPr>
          <w:sz w:val="24"/>
          <w:szCs w:val="24"/>
        </w:rPr>
        <w:t xml:space="preserve"> Skype meetings </w:t>
      </w:r>
      <w:r w:rsidR="00C200B4">
        <w:rPr>
          <w:sz w:val="24"/>
          <w:szCs w:val="24"/>
        </w:rPr>
        <w:t xml:space="preserve">(as needed) </w:t>
      </w:r>
      <w:r w:rsidR="00B50EC8" w:rsidRPr="00EC5DCC">
        <w:rPr>
          <w:sz w:val="24"/>
          <w:szCs w:val="24"/>
        </w:rPr>
        <w:t>to review progress and address any</w:t>
      </w:r>
      <w:r w:rsidRPr="00EC5DCC">
        <w:rPr>
          <w:sz w:val="24"/>
          <w:szCs w:val="24"/>
        </w:rPr>
        <w:t xml:space="preserve"> challenges with data collection. In addition, the NPC will be asked to submit progress reports on data collection, with a particular focus on the major sectors that include activity rates, input factors and distribution factors that will be necessary for the accurate estimation of mercury emissions and releases.</w:t>
      </w:r>
    </w:p>
    <w:p w14:paraId="5333B583" w14:textId="77777777" w:rsidR="008836F4" w:rsidRPr="00EC5DCC" w:rsidRDefault="008836F4" w:rsidP="008836F4">
      <w:pPr>
        <w:jc w:val="both"/>
        <w:rPr>
          <w:b/>
          <w:sz w:val="28"/>
          <w:szCs w:val="28"/>
        </w:rPr>
      </w:pPr>
      <w:r w:rsidRPr="00EC5DCC">
        <w:rPr>
          <w:b/>
          <w:sz w:val="28"/>
          <w:szCs w:val="28"/>
        </w:rPr>
        <w:t>Task 3. Identification of Contaminated Sites</w:t>
      </w:r>
    </w:p>
    <w:p w14:paraId="01C735FD" w14:textId="3B27FAA7" w:rsidR="002350CB" w:rsidRPr="00EC5DCC" w:rsidRDefault="00B50EC8" w:rsidP="002350CB">
      <w:pPr>
        <w:jc w:val="both"/>
        <w:rPr>
          <w:sz w:val="24"/>
          <w:szCs w:val="24"/>
        </w:rPr>
      </w:pPr>
      <w:r w:rsidRPr="00EC5DCC">
        <w:rPr>
          <w:sz w:val="24"/>
          <w:szCs w:val="24"/>
        </w:rPr>
        <w:t>Article 12</w:t>
      </w:r>
      <w:r w:rsidR="008836F4" w:rsidRPr="00EC5DCC">
        <w:rPr>
          <w:sz w:val="24"/>
          <w:szCs w:val="24"/>
        </w:rPr>
        <w:t xml:space="preserve"> of the Minamata Convention calls on Parties to develop strategies for identifying sites contaminated by mercury and mercury-containing compounds. As part of this project, a strategy will be developed to begin this process that will incorporate readily available national-scale data on potential point sources of mercury and ecosystems that might be sensitive to mercury inputs.</w:t>
      </w:r>
      <w:r w:rsidRPr="00EC5DCC">
        <w:rPr>
          <w:sz w:val="24"/>
          <w:szCs w:val="24"/>
        </w:rPr>
        <w:t xml:space="preserve"> Spatially explicit data layers that include the locations of major habitats, land use, soils, geology, water bodies (including lakes, rivers, streams) as well as the locations of potential point sources of mercury will be incorporated into a model to help identify areas of the country that are </w:t>
      </w:r>
      <w:r w:rsidR="00C200B4">
        <w:rPr>
          <w:sz w:val="24"/>
          <w:szCs w:val="24"/>
        </w:rPr>
        <w:t xml:space="preserve">sensitive </w:t>
      </w:r>
      <w:r w:rsidRPr="00EC5DCC">
        <w:rPr>
          <w:sz w:val="24"/>
          <w:szCs w:val="24"/>
        </w:rPr>
        <w:t>to mercury inputs</w:t>
      </w:r>
      <w:r w:rsidR="00C200B4">
        <w:rPr>
          <w:sz w:val="24"/>
          <w:szCs w:val="24"/>
        </w:rPr>
        <w:t xml:space="preserve"> from a standpoint of methylmercury generation and availability</w:t>
      </w:r>
      <w:r w:rsidRPr="00EC5DCC">
        <w:rPr>
          <w:sz w:val="24"/>
          <w:szCs w:val="24"/>
        </w:rPr>
        <w:t>.</w:t>
      </w:r>
      <w:r w:rsidR="002350CB" w:rsidRPr="00EC5DCC">
        <w:rPr>
          <w:sz w:val="24"/>
          <w:szCs w:val="24"/>
        </w:rPr>
        <w:t xml:space="preserve"> </w:t>
      </w:r>
    </w:p>
    <w:p w14:paraId="526EE4C1" w14:textId="35EFA8C0" w:rsidR="002350CB" w:rsidRDefault="008836F4" w:rsidP="002350CB">
      <w:pPr>
        <w:jc w:val="both"/>
        <w:rPr>
          <w:sz w:val="24"/>
          <w:szCs w:val="24"/>
        </w:rPr>
      </w:pPr>
      <w:r w:rsidRPr="00EC5DCC">
        <w:rPr>
          <w:sz w:val="24"/>
          <w:szCs w:val="24"/>
        </w:rPr>
        <w:t>In addition</w:t>
      </w:r>
      <w:r w:rsidR="00861425" w:rsidRPr="00EC5DCC">
        <w:rPr>
          <w:sz w:val="24"/>
          <w:szCs w:val="24"/>
        </w:rPr>
        <w:t xml:space="preserve"> to the desk-top work on</w:t>
      </w:r>
      <w:r w:rsidR="00912FBC" w:rsidRPr="00EC5DCC">
        <w:rPr>
          <w:sz w:val="24"/>
          <w:szCs w:val="24"/>
        </w:rPr>
        <w:t xml:space="preserve"> identifying potential contaminated sites, an assessment of mercury concentrations in fish </w:t>
      </w:r>
      <w:r w:rsidR="002C6A8F">
        <w:rPr>
          <w:sz w:val="24"/>
          <w:szCs w:val="24"/>
        </w:rPr>
        <w:t xml:space="preserve">and cosmetics </w:t>
      </w:r>
      <w:r w:rsidR="00912FBC" w:rsidRPr="00EC5DCC">
        <w:rPr>
          <w:sz w:val="24"/>
          <w:szCs w:val="24"/>
        </w:rPr>
        <w:t>from each island will be conducted. The</w:t>
      </w:r>
      <w:r w:rsidR="002C6A8F">
        <w:rPr>
          <w:sz w:val="24"/>
          <w:szCs w:val="24"/>
        </w:rPr>
        <w:t xml:space="preserve"> fish</w:t>
      </w:r>
      <w:r w:rsidR="00912FBC" w:rsidRPr="00EC5DCC">
        <w:rPr>
          <w:sz w:val="24"/>
          <w:szCs w:val="24"/>
        </w:rPr>
        <w:t xml:space="preserve"> assessment</w:t>
      </w:r>
      <w:r w:rsidR="002C6A8F">
        <w:rPr>
          <w:sz w:val="24"/>
          <w:szCs w:val="24"/>
        </w:rPr>
        <w:t>s</w:t>
      </w:r>
      <w:r w:rsidR="00912FBC" w:rsidRPr="00EC5DCC">
        <w:rPr>
          <w:sz w:val="24"/>
          <w:szCs w:val="24"/>
        </w:rPr>
        <w:t xml:space="preserve"> will target commonly consumed fish as well as upper trophic level, predatory fish. The </w:t>
      </w:r>
      <w:r w:rsidR="00861425" w:rsidRPr="00EC5DCC">
        <w:rPr>
          <w:sz w:val="24"/>
          <w:szCs w:val="24"/>
        </w:rPr>
        <w:t>primary goal of this component of the project is to provide useful information to the general public that focuses on healthy versus risky choices of fish that can be consumed and the frequency with which various types of fish can be consumed without risking mercury exposure. Under Article 16.1(a)</w:t>
      </w:r>
      <w:r w:rsidR="002350CB" w:rsidRPr="00EC5DCC">
        <w:rPr>
          <w:sz w:val="24"/>
          <w:szCs w:val="24"/>
        </w:rPr>
        <w:t xml:space="preserve"> of the Minamata Convention</w:t>
      </w:r>
      <w:r w:rsidR="00861425" w:rsidRPr="00EC5DCC">
        <w:rPr>
          <w:sz w:val="24"/>
          <w:szCs w:val="24"/>
        </w:rPr>
        <w:t>, parties to the convention are encouraged to develop “…science-based health guidelines relating to the exposure of mercury and mercury compounds…”.</w:t>
      </w:r>
      <w:r w:rsidR="00C200B4">
        <w:rPr>
          <w:sz w:val="24"/>
          <w:szCs w:val="24"/>
        </w:rPr>
        <w:t xml:space="preserve"> </w:t>
      </w:r>
    </w:p>
    <w:p w14:paraId="474BD1CF" w14:textId="218D254D" w:rsidR="002C6A8F" w:rsidRPr="00EC5DCC" w:rsidRDefault="002C6A8F" w:rsidP="002350CB">
      <w:pPr>
        <w:jc w:val="both"/>
        <w:rPr>
          <w:sz w:val="24"/>
          <w:szCs w:val="24"/>
        </w:rPr>
      </w:pPr>
      <w:r>
        <w:rPr>
          <w:sz w:val="24"/>
          <w:szCs w:val="24"/>
        </w:rPr>
        <w:t xml:space="preserve">The cosmetic assessment will target skin-lightening creams that were produced within the </w:t>
      </w:r>
      <w:r w:rsidR="00700DF5">
        <w:rPr>
          <w:sz w:val="24"/>
          <w:szCs w:val="24"/>
        </w:rPr>
        <w:t xml:space="preserve">South Pacific </w:t>
      </w:r>
      <w:r>
        <w:rPr>
          <w:sz w:val="24"/>
          <w:szCs w:val="24"/>
        </w:rPr>
        <w:t>region and sold on each of the island (</w:t>
      </w:r>
      <w:r w:rsidR="00700DF5">
        <w:rPr>
          <w:sz w:val="24"/>
          <w:szCs w:val="24"/>
        </w:rPr>
        <w:t>n = 10-</w:t>
      </w:r>
      <w:r>
        <w:rPr>
          <w:sz w:val="24"/>
          <w:szCs w:val="24"/>
        </w:rPr>
        <w:t xml:space="preserve">20).  The cosmetics will be analyzed in a two-step approach. The first step will use a Lumex or XRF to determine generic level of mercury (i.e., none, some or </w:t>
      </w:r>
      <w:r w:rsidR="00752149">
        <w:rPr>
          <w:sz w:val="24"/>
          <w:szCs w:val="24"/>
        </w:rPr>
        <w:t xml:space="preserve">very elevated).  The second step will use a Direct Mercury Analyzer for the creams </w:t>
      </w:r>
      <w:r w:rsidR="00752149">
        <w:rPr>
          <w:sz w:val="24"/>
          <w:szCs w:val="24"/>
        </w:rPr>
        <w:lastRenderedPageBreak/>
        <w:t>that have some Hg to establish the actual concentration so there can be an evaluation of the number of creams above or below 1ppm (the level identified in Annex A</w:t>
      </w:r>
      <w:r w:rsidR="00BA066F">
        <w:rPr>
          <w:sz w:val="24"/>
          <w:szCs w:val="24"/>
        </w:rPr>
        <w:t xml:space="preserve"> of the Minamata Convention</w:t>
      </w:r>
      <w:r w:rsidR="00752149">
        <w:rPr>
          <w:sz w:val="24"/>
          <w:szCs w:val="24"/>
        </w:rPr>
        <w:t xml:space="preserve">). </w:t>
      </w:r>
    </w:p>
    <w:p w14:paraId="034AA2A6" w14:textId="7B375319" w:rsidR="002350CB" w:rsidRDefault="002350CB" w:rsidP="002350CB">
      <w:pPr>
        <w:jc w:val="both"/>
        <w:rPr>
          <w:sz w:val="24"/>
          <w:szCs w:val="24"/>
        </w:rPr>
      </w:pPr>
      <w:r w:rsidRPr="00EC5DCC">
        <w:rPr>
          <w:sz w:val="24"/>
          <w:szCs w:val="24"/>
        </w:rPr>
        <w:t>All data produced under th</w:t>
      </w:r>
      <w:r w:rsidR="002C6A8F">
        <w:rPr>
          <w:sz w:val="24"/>
          <w:szCs w:val="24"/>
        </w:rPr>
        <w:t>es</w:t>
      </w:r>
      <w:r w:rsidR="00BA066F">
        <w:rPr>
          <w:sz w:val="24"/>
          <w:szCs w:val="24"/>
        </w:rPr>
        <w:t>e</w:t>
      </w:r>
      <w:r w:rsidRPr="00EC5DCC">
        <w:rPr>
          <w:sz w:val="24"/>
          <w:szCs w:val="24"/>
        </w:rPr>
        <w:t xml:space="preserve"> project</w:t>
      </w:r>
      <w:r w:rsidR="002C6A8F">
        <w:rPr>
          <w:sz w:val="24"/>
          <w:szCs w:val="24"/>
        </w:rPr>
        <w:t>s</w:t>
      </w:r>
      <w:r w:rsidRPr="00EC5DCC">
        <w:rPr>
          <w:sz w:val="24"/>
          <w:szCs w:val="24"/>
        </w:rPr>
        <w:t xml:space="preserve"> </w:t>
      </w:r>
      <w:r w:rsidR="00863A5D">
        <w:rPr>
          <w:sz w:val="24"/>
          <w:szCs w:val="24"/>
        </w:rPr>
        <w:t>are</w:t>
      </w:r>
      <w:r w:rsidRPr="00EC5DCC">
        <w:rPr>
          <w:sz w:val="24"/>
          <w:szCs w:val="24"/>
        </w:rPr>
        <w:t xml:space="preserve"> bound by confidentiality. No data will be released prior to consent of representatives from each of the </w:t>
      </w:r>
      <w:r w:rsidR="00BA066F">
        <w:rPr>
          <w:sz w:val="24"/>
          <w:szCs w:val="24"/>
        </w:rPr>
        <w:t>5</w:t>
      </w:r>
      <w:r w:rsidRPr="00EC5DCC">
        <w:rPr>
          <w:sz w:val="24"/>
          <w:szCs w:val="24"/>
        </w:rPr>
        <w:t xml:space="preserve"> countries and </w:t>
      </w:r>
      <w:r w:rsidR="00BA066F">
        <w:rPr>
          <w:sz w:val="24"/>
          <w:szCs w:val="24"/>
        </w:rPr>
        <w:t>SPREP</w:t>
      </w:r>
      <w:r w:rsidRPr="00EC5DCC">
        <w:rPr>
          <w:sz w:val="24"/>
          <w:szCs w:val="24"/>
        </w:rPr>
        <w:t>.</w:t>
      </w:r>
      <w:r w:rsidR="00752149">
        <w:rPr>
          <w:sz w:val="24"/>
          <w:szCs w:val="24"/>
        </w:rPr>
        <w:t xml:space="preserve">  Country-specific reports will be generated for each country on fish and cosmetic assessments.</w:t>
      </w:r>
    </w:p>
    <w:p w14:paraId="11319311" w14:textId="786267F5" w:rsidR="00C200B4" w:rsidRPr="00EC5DCC" w:rsidRDefault="00752149" w:rsidP="002350CB">
      <w:pPr>
        <w:jc w:val="both"/>
        <w:rPr>
          <w:sz w:val="24"/>
          <w:szCs w:val="24"/>
        </w:rPr>
      </w:pPr>
      <w:r>
        <w:rPr>
          <w:sz w:val="24"/>
          <w:szCs w:val="24"/>
        </w:rPr>
        <w:t>Hair sampling from a small group of people will also be informally conducted</w:t>
      </w:r>
      <w:r w:rsidR="00863A5D">
        <w:rPr>
          <w:sz w:val="24"/>
          <w:szCs w:val="24"/>
        </w:rPr>
        <w:t xml:space="preserve"> if requested by the country</w:t>
      </w:r>
      <w:r>
        <w:rPr>
          <w:sz w:val="24"/>
          <w:szCs w:val="24"/>
        </w:rPr>
        <w:t xml:space="preserve"> (i.e., funding is from IPEN and is outside of the MIA formal process).</w:t>
      </w:r>
    </w:p>
    <w:p w14:paraId="1B770512" w14:textId="77777777" w:rsidR="002350CB" w:rsidRPr="00EC5DCC" w:rsidRDefault="002350CB" w:rsidP="002350CB">
      <w:pPr>
        <w:jc w:val="both"/>
        <w:rPr>
          <w:rFonts w:cstheme="minorHAnsi"/>
          <w:b/>
          <w:sz w:val="28"/>
          <w:szCs w:val="28"/>
        </w:rPr>
      </w:pPr>
      <w:r w:rsidRPr="00EC5DCC">
        <w:rPr>
          <w:rFonts w:cstheme="minorHAnsi"/>
          <w:b/>
          <w:sz w:val="28"/>
          <w:szCs w:val="28"/>
        </w:rPr>
        <w:t>Task</w:t>
      </w:r>
      <w:r w:rsidR="008554F4" w:rsidRPr="00EC5DCC">
        <w:rPr>
          <w:rFonts w:cstheme="minorHAnsi"/>
          <w:b/>
          <w:sz w:val="28"/>
          <w:szCs w:val="28"/>
        </w:rPr>
        <w:t>s</w:t>
      </w:r>
      <w:r w:rsidRPr="00EC5DCC">
        <w:rPr>
          <w:rFonts w:cstheme="minorHAnsi"/>
          <w:b/>
          <w:sz w:val="28"/>
          <w:szCs w:val="28"/>
        </w:rPr>
        <w:t xml:space="preserve"> 4</w:t>
      </w:r>
      <w:r w:rsidR="008554F4" w:rsidRPr="00EC5DCC">
        <w:rPr>
          <w:rFonts w:cstheme="minorHAnsi"/>
          <w:b/>
          <w:sz w:val="28"/>
          <w:szCs w:val="28"/>
        </w:rPr>
        <w:t xml:space="preserve"> &amp; 5</w:t>
      </w:r>
      <w:r w:rsidRPr="00EC5DCC">
        <w:rPr>
          <w:rFonts w:cstheme="minorHAnsi"/>
          <w:b/>
          <w:sz w:val="28"/>
          <w:szCs w:val="28"/>
        </w:rPr>
        <w:t>. Review of Inventory Data Spreadsheets</w:t>
      </w:r>
      <w:r w:rsidR="008554F4" w:rsidRPr="00EC5DCC">
        <w:rPr>
          <w:rFonts w:cstheme="minorHAnsi"/>
          <w:b/>
          <w:sz w:val="28"/>
          <w:szCs w:val="28"/>
        </w:rPr>
        <w:t xml:space="preserve"> &amp; Development of a National Mercury Profile</w:t>
      </w:r>
    </w:p>
    <w:p w14:paraId="400A4853" w14:textId="718BC8F9" w:rsidR="00191116" w:rsidRPr="00EC5DCC" w:rsidRDefault="008554F4" w:rsidP="00191116">
      <w:pPr>
        <w:jc w:val="both"/>
        <w:rPr>
          <w:rFonts w:cstheme="minorHAnsi"/>
          <w:sz w:val="24"/>
          <w:szCs w:val="24"/>
        </w:rPr>
      </w:pPr>
      <w:r w:rsidRPr="00EC5DCC">
        <w:rPr>
          <w:rFonts w:cstheme="minorHAnsi"/>
          <w:sz w:val="24"/>
          <w:szCs w:val="24"/>
        </w:rPr>
        <w:t>Under this activity</w:t>
      </w:r>
      <w:r w:rsidR="006853FC">
        <w:rPr>
          <w:rFonts w:cstheme="minorHAnsi"/>
          <w:sz w:val="24"/>
          <w:szCs w:val="24"/>
        </w:rPr>
        <w:t>,</w:t>
      </w:r>
      <w:r w:rsidRPr="00EC5DCC">
        <w:rPr>
          <w:rFonts w:cstheme="minorHAnsi"/>
          <w:sz w:val="24"/>
          <w:szCs w:val="24"/>
        </w:rPr>
        <w:t xml:space="preserve"> the National Project Coordinator for each island will conduct a rapid assessment of mercury emission and release sources. Data sources will utilize sources specific to the sector of interest and where feasible, will incorporate data on specific point sources.</w:t>
      </w:r>
      <w:r w:rsidR="00191116" w:rsidRPr="00EC5DCC">
        <w:rPr>
          <w:rFonts w:cstheme="minorHAnsi"/>
          <w:sz w:val="24"/>
          <w:szCs w:val="24"/>
        </w:rPr>
        <w:t xml:space="preserve"> Other potential data sources should include periodic reports from industrial facilities/companies as well as on-site mass-balance assessment methods and data from environment permits and inspections of industrial facilities/companies. Ambient environment quality monitoring that measure </w:t>
      </w:r>
      <w:r w:rsidR="00610138">
        <w:rPr>
          <w:rFonts w:cstheme="minorHAnsi"/>
          <w:sz w:val="24"/>
          <w:szCs w:val="24"/>
        </w:rPr>
        <w:t>mercury</w:t>
      </w:r>
      <w:r w:rsidR="00191116" w:rsidRPr="00EC5DCC">
        <w:rPr>
          <w:rFonts w:cstheme="minorHAnsi"/>
          <w:sz w:val="24"/>
          <w:szCs w:val="24"/>
        </w:rPr>
        <w:t xml:space="preserve"> in air, water and soil are important data sources. Customs offices are responsible for the control and registration of imported and exported products that among others include control of substances/products of dual use the standard list and classification codes of which are defined by the special regulation. Other potential sources for mercury data might be the Ministry of Health and related ministries, research labs of natural and applied science faculties of major universities and colleges, industrial facilities, cement plants, coal-fired power plants, medicinal waste incineration facilities, chemical industries (e.g., chlor-alkali acetaldehyde, polyurethane production industries). In some </w:t>
      </w:r>
      <w:r w:rsidR="0007545B" w:rsidRPr="00EC5DCC">
        <w:rPr>
          <w:rFonts w:cstheme="minorHAnsi"/>
          <w:sz w:val="24"/>
          <w:szCs w:val="24"/>
        </w:rPr>
        <w:t>instances,</w:t>
      </w:r>
      <w:r w:rsidR="00191116" w:rsidRPr="00EC5DCC">
        <w:rPr>
          <w:rFonts w:cstheme="minorHAnsi"/>
          <w:sz w:val="24"/>
          <w:szCs w:val="24"/>
        </w:rPr>
        <w:t xml:space="preserve"> it may also be important to confirm the presence/absence of mercury use in jewelry jobs as it is often used to amalgamate gold dust created during jewelry production.</w:t>
      </w:r>
    </w:p>
    <w:p w14:paraId="65856840" w14:textId="0E08D2A8" w:rsidR="00730AD9" w:rsidRPr="00EC5DCC" w:rsidRDefault="00191116" w:rsidP="00191116">
      <w:pPr>
        <w:jc w:val="both"/>
        <w:rPr>
          <w:rFonts w:cstheme="minorHAnsi"/>
          <w:sz w:val="24"/>
          <w:szCs w:val="24"/>
        </w:rPr>
      </w:pPr>
      <w:r w:rsidRPr="00EC5DCC">
        <w:rPr>
          <w:rFonts w:cstheme="minorHAnsi"/>
          <w:sz w:val="24"/>
          <w:szCs w:val="24"/>
        </w:rPr>
        <w:t xml:space="preserve">National Project Coordinators </w:t>
      </w:r>
      <w:r w:rsidR="00B86C4E">
        <w:rPr>
          <w:rFonts w:cstheme="minorHAnsi"/>
          <w:sz w:val="24"/>
          <w:szCs w:val="24"/>
        </w:rPr>
        <w:t xml:space="preserve">will be </w:t>
      </w:r>
      <w:r w:rsidRPr="00EC5DCC">
        <w:rPr>
          <w:rFonts w:cstheme="minorHAnsi"/>
          <w:sz w:val="24"/>
          <w:szCs w:val="24"/>
        </w:rPr>
        <w:t>provided with questionnaires t</w:t>
      </w:r>
      <w:r w:rsidR="00730AD9" w:rsidRPr="00EC5DCC">
        <w:rPr>
          <w:rFonts w:cstheme="minorHAnsi"/>
          <w:sz w:val="24"/>
          <w:szCs w:val="24"/>
        </w:rPr>
        <w:t xml:space="preserve">hat target data needs for </w:t>
      </w:r>
      <w:r w:rsidRPr="00EC5DCC">
        <w:rPr>
          <w:rFonts w:cstheme="minorHAnsi"/>
          <w:sz w:val="24"/>
          <w:szCs w:val="24"/>
        </w:rPr>
        <w:t xml:space="preserve">major sectors. These questionnaires should be used to facilitate data collection for the appropriate sectors. </w:t>
      </w:r>
      <w:r w:rsidR="00730AD9" w:rsidRPr="00EC5DCC">
        <w:rPr>
          <w:rFonts w:cstheme="minorHAnsi"/>
          <w:sz w:val="24"/>
          <w:szCs w:val="24"/>
        </w:rPr>
        <w:t>The general work flow for the development of the inventory will include the following steps:</w:t>
      </w:r>
    </w:p>
    <w:p w14:paraId="49FD3FC2" w14:textId="77777777" w:rsidR="00730AD9" w:rsidRPr="00EC5DCC" w:rsidRDefault="00730AD9" w:rsidP="00730AD9">
      <w:pPr>
        <w:pStyle w:val="ListParagraph"/>
        <w:numPr>
          <w:ilvl w:val="0"/>
          <w:numId w:val="29"/>
        </w:numPr>
        <w:jc w:val="both"/>
        <w:rPr>
          <w:rFonts w:cstheme="minorHAnsi"/>
          <w:sz w:val="24"/>
          <w:szCs w:val="24"/>
        </w:rPr>
      </w:pPr>
      <w:r w:rsidRPr="00EC5DCC">
        <w:rPr>
          <w:rFonts w:cstheme="minorHAnsi"/>
          <w:sz w:val="24"/>
          <w:szCs w:val="24"/>
        </w:rPr>
        <w:t>Collection and compilation of data and preparation of an inventory of the sources, types, quantities and physical states of mercury- containing wastes generated, stored and recycled, treated or disposed of;</w:t>
      </w:r>
    </w:p>
    <w:p w14:paraId="1383CD85" w14:textId="77777777" w:rsidR="00730AD9" w:rsidRPr="00EC5DCC" w:rsidRDefault="00730AD9" w:rsidP="00730AD9">
      <w:pPr>
        <w:pStyle w:val="ListParagraph"/>
        <w:numPr>
          <w:ilvl w:val="0"/>
          <w:numId w:val="29"/>
        </w:numPr>
        <w:jc w:val="both"/>
        <w:rPr>
          <w:rFonts w:cstheme="minorHAnsi"/>
          <w:sz w:val="24"/>
          <w:szCs w:val="24"/>
        </w:rPr>
      </w:pPr>
      <w:r w:rsidRPr="00EC5DCC">
        <w:rPr>
          <w:rFonts w:cstheme="minorHAnsi"/>
          <w:sz w:val="24"/>
          <w:szCs w:val="24"/>
        </w:rPr>
        <w:t>Assessment of the current levels of handling, storage and management practices for mercury- containing wastes;</w:t>
      </w:r>
    </w:p>
    <w:p w14:paraId="42702B34" w14:textId="77777777" w:rsidR="00730AD9" w:rsidRPr="00EC5DCC" w:rsidRDefault="00730AD9" w:rsidP="00730AD9">
      <w:pPr>
        <w:pStyle w:val="ListParagraph"/>
        <w:numPr>
          <w:ilvl w:val="0"/>
          <w:numId w:val="29"/>
        </w:numPr>
        <w:jc w:val="both"/>
        <w:rPr>
          <w:rFonts w:cstheme="minorHAnsi"/>
          <w:sz w:val="24"/>
          <w:szCs w:val="24"/>
        </w:rPr>
      </w:pPr>
      <w:r w:rsidRPr="00EC5DCC">
        <w:rPr>
          <w:rFonts w:cstheme="minorHAnsi"/>
          <w:sz w:val="24"/>
          <w:szCs w:val="24"/>
        </w:rPr>
        <w:t>Identification of key sectors, local authorities, communities and other stakeholders affected by or involved with important mercury sources and/or emissions;</w:t>
      </w:r>
    </w:p>
    <w:p w14:paraId="64363318" w14:textId="77777777" w:rsidR="00730AD9" w:rsidRPr="00EC5DCC" w:rsidRDefault="00730AD9" w:rsidP="00730AD9">
      <w:pPr>
        <w:pStyle w:val="ListParagraph"/>
        <w:numPr>
          <w:ilvl w:val="0"/>
          <w:numId w:val="29"/>
        </w:numPr>
        <w:jc w:val="both"/>
        <w:rPr>
          <w:rFonts w:cstheme="minorHAnsi"/>
          <w:sz w:val="24"/>
          <w:szCs w:val="24"/>
        </w:rPr>
      </w:pPr>
      <w:r w:rsidRPr="00EC5DCC">
        <w:rPr>
          <w:rFonts w:cstheme="minorHAnsi"/>
          <w:sz w:val="24"/>
          <w:szCs w:val="24"/>
        </w:rPr>
        <w:lastRenderedPageBreak/>
        <w:t>Identification of opportunities and measures for the minimization, recycling, pre-treatment and disposal of mercury containing wastes;</w:t>
      </w:r>
    </w:p>
    <w:p w14:paraId="0E530B52" w14:textId="77777777" w:rsidR="00730AD9" w:rsidRPr="00EC5DCC" w:rsidRDefault="00730AD9" w:rsidP="00730AD9">
      <w:pPr>
        <w:pStyle w:val="ListParagraph"/>
        <w:numPr>
          <w:ilvl w:val="0"/>
          <w:numId w:val="29"/>
        </w:numPr>
        <w:jc w:val="both"/>
        <w:rPr>
          <w:rFonts w:cstheme="minorHAnsi"/>
          <w:sz w:val="24"/>
          <w:szCs w:val="24"/>
        </w:rPr>
      </w:pPr>
      <w:r w:rsidRPr="00EC5DCC">
        <w:rPr>
          <w:rFonts w:cstheme="minorHAnsi"/>
          <w:sz w:val="24"/>
          <w:szCs w:val="24"/>
        </w:rPr>
        <w:t>Preparation of a National Mercury Profile including significant sources of emissions and releases, as well as inventories of mercury and mercury-containing compounds.</w:t>
      </w:r>
    </w:p>
    <w:p w14:paraId="22E5F5F9" w14:textId="77777777" w:rsidR="00730AD9" w:rsidRPr="00EC5DCC" w:rsidRDefault="00730AD9" w:rsidP="00191116">
      <w:pPr>
        <w:jc w:val="both"/>
        <w:rPr>
          <w:rFonts w:cstheme="minorHAnsi"/>
          <w:sz w:val="24"/>
          <w:szCs w:val="24"/>
        </w:rPr>
      </w:pPr>
      <w:r w:rsidRPr="00EC5DCC">
        <w:rPr>
          <w:rFonts w:cstheme="minorHAnsi"/>
          <w:sz w:val="24"/>
          <w:szCs w:val="24"/>
        </w:rPr>
        <w:t>Development of the National Mercury Profile will follow the template for reporting inventory results prepared by UNEP’s Chemicals and Waste division (available at: http://web.unep.org/chemicalsandwaste/what-we-do/technology-and-metals/mercury/toolkit-identification-and-quantification-mercury-releases).</w:t>
      </w:r>
    </w:p>
    <w:p w14:paraId="420D39B7" w14:textId="0A869E3C" w:rsidR="00610138" w:rsidRDefault="00752507" w:rsidP="00730AD9">
      <w:pPr>
        <w:jc w:val="both"/>
        <w:rPr>
          <w:rFonts w:cstheme="minorHAnsi"/>
          <w:sz w:val="24"/>
          <w:szCs w:val="24"/>
        </w:rPr>
      </w:pPr>
      <w:r>
        <w:rPr>
          <w:rFonts w:cstheme="minorHAnsi"/>
          <w:sz w:val="24"/>
          <w:szCs w:val="24"/>
        </w:rPr>
        <w:t>BRI will work with the NPCs of each country</w:t>
      </w:r>
      <w:r w:rsidR="00214796">
        <w:rPr>
          <w:rFonts w:cstheme="minorHAnsi"/>
          <w:sz w:val="24"/>
          <w:szCs w:val="24"/>
        </w:rPr>
        <w:t xml:space="preserve"> to (1) provide </w:t>
      </w:r>
      <w:r w:rsidR="006853FC">
        <w:rPr>
          <w:rFonts w:cstheme="minorHAnsi"/>
          <w:sz w:val="24"/>
          <w:szCs w:val="24"/>
        </w:rPr>
        <w:t xml:space="preserve">sample questionnaires and </w:t>
      </w:r>
      <w:r w:rsidR="00214796">
        <w:rPr>
          <w:rFonts w:cstheme="minorHAnsi"/>
          <w:sz w:val="24"/>
          <w:szCs w:val="24"/>
        </w:rPr>
        <w:t>feedback on questions regarding the Hg inventory data collection</w:t>
      </w:r>
      <w:r w:rsidR="00CC5271">
        <w:rPr>
          <w:rFonts w:cstheme="minorHAnsi"/>
          <w:sz w:val="24"/>
          <w:szCs w:val="24"/>
        </w:rPr>
        <w:t>,</w:t>
      </w:r>
      <w:r w:rsidR="003354BB">
        <w:rPr>
          <w:rFonts w:cstheme="minorHAnsi"/>
          <w:sz w:val="24"/>
          <w:szCs w:val="24"/>
        </w:rPr>
        <w:t xml:space="preserve"> </w:t>
      </w:r>
      <w:r w:rsidR="00214796">
        <w:rPr>
          <w:rFonts w:cstheme="minorHAnsi"/>
          <w:sz w:val="24"/>
          <w:szCs w:val="24"/>
        </w:rPr>
        <w:t xml:space="preserve">(2) review the </w:t>
      </w:r>
      <w:r w:rsidR="004B3B21">
        <w:rPr>
          <w:rFonts w:cstheme="minorHAnsi"/>
          <w:sz w:val="24"/>
          <w:szCs w:val="24"/>
        </w:rPr>
        <w:t xml:space="preserve">draft </w:t>
      </w:r>
      <w:r w:rsidR="00CC5271">
        <w:rPr>
          <w:rFonts w:cstheme="minorHAnsi"/>
          <w:sz w:val="24"/>
          <w:szCs w:val="24"/>
        </w:rPr>
        <w:t xml:space="preserve">and </w:t>
      </w:r>
      <w:r w:rsidR="004B3B21">
        <w:rPr>
          <w:rFonts w:cstheme="minorHAnsi"/>
          <w:sz w:val="24"/>
          <w:szCs w:val="24"/>
        </w:rPr>
        <w:t>final Hg inventories</w:t>
      </w:r>
      <w:r w:rsidR="003354BB">
        <w:rPr>
          <w:rFonts w:cstheme="minorHAnsi"/>
          <w:sz w:val="24"/>
          <w:szCs w:val="24"/>
        </w:rPr>
        <w:t xml:space="preserve"> and (3) review the draft and final National Mercury Profiles. </w:t>
      </w:r>
    </w:p>
    <w:p w14:paraId="63471372" w14:textId="1D4B3A79" w:rsidR="00730AD9" w:rsidRPr="00EC5DCC" w:rsidRDefault="00730AD9" w:rsidP="00730AD9">
      <w:pPr>
        <w:jc w:val="both"/>
        <w:rPr>
          <w:rFonts w:cstheme="minorHAnsi"/>
          <w:b/>
          <w:sz w:val="28"/>
          <w:szCs w:val="28"/>
        </w:rPr>
      </w:pPr>
      <w:r w:rsidRPr="00EC5DCC">
        <w:rPr>
          <w:rFonts w:cstheme="minorHAnsi"/>
          <w:b/>
          <w:sz w:val="28"/>
          <w:szCs w:val="28"/>
        </w:rPr>
        <w:t>Tasks 6</w:t>
      </w:r>
      <w:r w:rsidR="003354BB">
        <w:rPr>
          <w:rFonts w:cstheme="minorHAnsi"/>
          <w:b/>
          <w:sz w:val="28"/>
          <w:szCs w:val="28"/>
        </w:rPr>
        <w:t xml:space="preserve"> and 7</w:t>
      </w:r>
      <w:r w:rsidRPr="00EC5DCC">
        <w:rPr>
          <w:rFonts w:cstheme="minorHAnsi"/>
          <w:b/>
          <w:sz w:val="28"/>
          <w:szCs w:val="28"/>
        </w:rPr>
        <w:t xml:space="preserve">. </w:t>
      </w:r>
      <w:r w:rsidR="003354BB">
        <w:rPr>
          <w:rFonts w:cstheme="minorHAnsi"/>
          <w:b/>
          <w:sz w:val="28"/>
          <w:szCs w:val="28"/>
        </w:rPr>
        <w:t xml:space="preserve">Review of National Institutional and Legislative Gap Analyses and </w:t>
      </w:r>
      <w:r w:rsidRPr="00EC5DCC">
        <w:rPr>
          <w:rFonts w:cstheme="minorHAnsi"/>
          <w:b/>
          <w:sz w:val="28"/>
          <w:szCs w:val="28"/>
        </w:rPr>
        <w:t xml:space="preserve">National Minamata Initial Assessment report </w:t>
      </w:r>
    </w:p>
    <w:p w14:paraId="2D99B63A" w14:textId="13A93276" w:rsidR="00A34DB8" w:rsidRDefault="00A34DB8" w:rsidP="00BE56A3">
      <w:pPr>
        <w:spacing w:after="0" w:line="360" w:lineRule="auto"/>
        <w:rPr>
          <w:sz w:val="24"/>
          <w:szCs w:val="24"/>
        </w:rPr>
      </w:pPr>
      <w:r w:rsidRPr="00BE56A3">
        <w:rPr>
          <w:sz w:val="24"/>
          <w:szCs w:val="24"/>
        </w:rPr>
        <w:t>As assessment of key institutions (</w:t>
      </w:r>
      <w:r w:rsidR="00D42D5F">
        <w:rPr>
          <w:sz w:val="24"/>
          <w:szCs w:val="24"/>
        </w:rPr>
        <w:t>governmental and non-governmental</w:t>
      </w:r>
      <w:r w:rsidRPr="00BE56A3">
        <w:rPr>
          <w:sz w:val="24"/>
          <w:szCs w:val="24"/>
        </w:rPr>
        <w:t>) will be conducted</w:t>
      </w:r>
      <w:r w:rsidR="00BE56A3">
        <w:rPr>
          <w:sz w:val="24"/>
          <w:szCs w:val="24"/>
        </w:rPr>
        <w:t xml:space="preserve"> in each country</w:t>
      </w:r>
      <w:r w:rsidRPr="00BE56A3">
        <w:rPr>
          <w:sz w:val="24"/>
          <w:szCs w:val="24"/>
        </w:rPr>
        <w:t xml:space="preserve"> to determine gaps, capacity needs and barriers (legal and functional) to meet the requirements of the Convention, including preparation of recommendations related to the establishment of the Minamata Initial Assessment (to initiate policy discussions and define country strategy and specific steps for the ratification of the Convention). The major focus will be on ministries, as being the foremost agencies with mercury management. The institutional analysis will be carried out through the desktop review of existing reports and charters of relevant agencies as well as through the structured/semi-structured interviews with and questionnaire survey</w:t>
      </w:r>
      <w:r w:rsidR="00BE56A3">
        <w:rPr>
          <w:sz w:val="24"/>
          <w:szCs w:val="24"/>
        </w:rPr>
        <w:t>s</w:t>
      </w:r>
      <w:r w:rsidRPr="00BE56A3">
        <w:rPr>
          <w:sz w:val="24"/>
          <w:szCs w:val="24"/>
        </w:rPr>
        <w:t xml:space="preserve"> of relevant staff of these institutions</w:t>
      </w:r>
      <w:r w:rsidR="00BE56A3" w:rsidRPr="00BE56A3">
        <w:rPr>
          <w:sz w:val="24"/>
          <w:szCs w:val="24"/>
        </w:rPr>
        <w:t xml:space="preserve">.  BRI will assist </w:t>
      </w:r>
      <w:r w:rsidR="00D51353">
        <w:rPr>
          <w:sz w:val="24"/>
          <w:szCs w:val="24"/>
        </w:rPr>
        <w:t xml:space="preserve">the NPCs in each country </w:t>
      </w:r>
      <w:r w:rsidR="00BE56A3" w:rsidRPr="00BE56A3">
        <w:rPr>
          <w:sz w:val="24"/>
          <w:szCs w:val="24"/>
        </w:rPr>
        <w:t xml:space="preserve">in the development </w:t>
      </w:r>
      <w:r w:rsidR="00BE56A3">
        <w:rPr>
          <w:sz w:val="24"/>
          <w:szCs w:val="24"/>
        </w:rPr>
        <w:t xml:space="preserve">and review of the </w:t>
      </w:r>
      <w:r w:rsidR="00BE56A3" w:rsidRPr="00BE56A3">
        <w:rPr>
          <w:sz w:val="24"/>
          <w:szCs w:val="24"/>
        </w:rPr>
        <w:t xml:space="preserve">Institutional </w:t>
      </w:r>
      <w:r w:rsidR="00BE56A3">
        <w:rPr>
          <w:sz w:val="24"/>
          <w:szCs w:val="24"/>
        </w:rPr>
        <w:t>Gap Analysis.</w:t>
      </w:r>
    </w:p>
    <w:p w14:paraId="09576CF3" w14:textId="77777777" w:rsidR="006853FC" w:rsidRDefault="006853FC" w:rsidP="00BE56A3">
      <w:pPr>
        <w:spacing w:after="0" w:line="360" w:lineRule="auto"/>
        <w:rPr>
          <w:sz w:val="24"/>
          <w:szCs w:val="24"/>
        </w:rPr>
      </w:pPr>
    </w:p>
    <w:p w14:paraId="1F0C03D8" w14:textId="6AA2F9D6" w:rsidR="00BE56A3" w:rsidRDefault="00BE56A3" w:rsidP="00BE56A3">
      <w:pPr>
        <w:spacing w:after="0" w:line="360" w:lineRule="auto"/>
        <w:rPr>
          <w:sz w:val="24"/>
          <w:szCs w:val="24"/>
        </w:rPr>
      </w:pPr>
      <w:r w:rsidRPr="00D42D5F">
        <w:rPr>
          <w:sz w:val="24"/>
          <w:szCs w:val="24"/>
        </w:rPr>
        <w:t xml:space="preserve">In parallel, a review of existing legal-regulatory and policy frameworks regulating production and use of mercury will be conducted. Relevant laws, regulations and policies that address production, storage, trade, industrial and/or household application, environmental release, inventory, registration and reporting of hazardous substances and wastes, management of contaminated sites, management of industrial accidents, and other elements as needed will be assessed. Based on the review, gaps related to the mercury management in general, and to the implementation of the Mercury Convention in particular, will be identified and will be followed by the elaboration of legal-regulatory and policy recommendations to strengthen the mercury </w:t>
      </w:r>
      <w:r w:rsidRPr="00D42D5F">
        <w:rPr>
          <w:sz w:val="24"/>
          <w:szCs w:val="24"/>
        </w:rPr>
        <w:lastRenderedPageBreak/>
        <w:t xml:space="preserve">governance and ultimately, to set an enabling environment for implementation of the Minamata Convention. </w:t>
      </w:r>
    </w:p>
    <w:p w14:paraId="5742C41F" w14:textId="77777777" w:rsidR="00D42D5F" w:rsidRPr="00D42D5F" w:rsidRDefault="00D42D5F" w:rsidP="00BE56A3">
      <w:pPr>
        <w:spacing w:after="0" w:line="360" w:lineRule="auto"/>
        <w:rPr>
          <w:sz w:val="24"/>
          <w:szCs w:val="24"/>
        </w:rPr>
      </w:pPr>
    </w:p>
    <w:p w14:paraId="3A6B0968" w14:textId="5414E0CF" w:rsidR="003354BB" w:rsidRDefault="00BE56A3" w:rsidP="006853FC">
      <w:pPr>
        <w:spacing w:line="360" w:lineRule="auto"/>
        <w:jc w:val="both"/>
        <w:rPr>
          <w:rFonts w:cstheme="minorHAnsi"/>
          <w:sz w:val="24"/>
          <w:szCs w:val="24"/>
        </w:rPr>
      </w:pPr>
      <w:r w:rsidRPr="00D42D5F">
        <w:rPr>
          <w:sz w:val="24"/>
          <w:szCs w:val="24"/>
        </w:rPr>
        <w:t xml:space="preserve">The </w:t>
      </w:r>
      <w:r w:rsidR="00D42D5F" w:rsidRPr="00D42D5F">
        <w:rPr>
          <w:sz w:val="24"/>
          <w:szCs w:val="24"/>
        </w:rPr>
        <w:t>legislative gap analysis</w:t>
      </w:r>
      <w:r w:rsidRPr="00D42D5F">
        <w:rPr>
          <w:sz w:val="24"/>
          <w:szCs w:val="24"/>
        </w:rPr>
        <w:t xml:space="preserve"> together with institutional assessment will be complied in one capacity needs assessment </w:t>
      </w:r>
      <w:r w:rsidR="00D42D5F" w:rsidRPr="00D42D5F">
        <w:rPr>
          <w:sz w:val="24"/>
          <w:szCs w:val="24"/>
        </w:rPr>
        <w:t xml:space="preserve">as part of the National MIA Report. BRI will </w:t>
      </w:r>
      <w:r w:rsidR="00565CA7">
        <w:rPr>
          <w:sz w:val="24"/>
          <w:szCs w:val="24"/>
        </w:rPr>
        <w:t xml:space="preserve">work with the NPCs of each country to (1) </w:t>
      </w:r>
      <w:r w:rsidR="00D42D5F" w:rsidRPr="00D42D5F">
        <w:rPr>
          <w:sz w:val="24"/>
          <w:szCs w:val="24"/>
        </w:rPr>
        <w:t>p</w:t>
      </w:r>
      <w:r w:rsidRPr="00D42D5F">
        <w:rPr>
          <w:sz w:val="24"/>
          <w:szCs w:val="24"/>
        </w:rPr>
        <w:t xml:space="preserve">rovide </w:t>
      </w:r>
      <w:r w:rsidR="00565CA7">
        <w:rPr>
          <w:sz w:val="24"/>
          <w:szCs w:val="24"/>
        </w:rPr>
        <w:t xml:space="preserve">an </w:t>
      </w:r>
      <w:r w:rsidRPr="00D42D5F">
        <w:rPr>
          <w:sz w:val="24"/>
          <w:szCs w:val="24"/>
        </w:rPr>
        <w:t xml:space="preserve">effective </w:t>
      </w:r>
      <w:r w:rsidR="00D42D5F" w:rsidRPr="00D42D5F">
        <w:rPr>
          <w:sz w:val="24"/>
          <w:szCs w:val="24"/>
        </w:rPr>
        <w:t>template</w:t>
      </w:r>
      <w:r w:rsidRPr="00D42D5F">
        <w:rPr>
          <w:sz w:val="24"/>
          <w:szCs w:val="24"/>
        </w:rPr>
        <w:t xml:space="preserve"> for comprehensive collection of national information</w:t>
      </w:r>
      <w:r w:rsidR="00D42D5F" w:rsidRPr="00D42D5F">
        <w:rPr>
          <w:sz w:val="24"/>
          <w:szCs w:val="24"/>
        </w:rPr>
        <w:t xml:space="preserve"> and</w:t>
      </w:r>
      <w:r w:rsidR="00565CA7">
        <w:rPr>
          <w:sz w:val="24"/>
          <w:szCs w:val="24"/>
        </w:rPr>
        <w:t xml:space="preserve"> (2)</w:t>
      </w:r>
      <w:r w:rsidR="00D42D5F" w:rsidRPr="00D42D5F">
        <w:rPr>
          <w:sz w:val="24"/>
          <w:szCs w:val="24"/>
        </w:rPr>
        <w:t xml:space="preserve"> review the Legislative Gap Analysis</w:t>
      </w:r>
      <w:r w:rsidR="00565CA7">
        <w:rPr>
          <w:sz w:val="24"/>
          <w:szCs w:val="24"/>
        </w:rPr>
        <w:t xml:space="preserve"> in addition to the Institutional Gap Analysis</w:t>
      </w:r>
      <w:r w:rsidR="00D42D5F" w:rsidRPr="00D42D5F">
        <w:rPr>
          <w:sz w:val="24"/>
          <w:szCs w:val="24"/>
        </w:rPr>
        <w:t xml:space="preserve">. </w:t>
      </w:r>
    </w:p>
    <w:p w14:paraId="38C1F7F9" w14:textId="354886E0" w:rsidR="009522F9" w:rsidRPr="00EC5DCC" w:rsidRDefault="00730AD9" w:rsidP="009522F9">
      <w:pPr>
        <w:jc w:val="both"/>
        <w:rPr>
          <w:rFonts w:cstheme="minorHAnsi"/>
          <w:sz w:val="24"/>
          <w:szCs w:val="24"/>
        </w:rPr>
      </w:pPr>
      <w:r w:rsidRPr="00EC5DCC">
        <w:rPr>
          <w:rFonts w:cstheme="minorHAnsi"/>
          <w:sz w:val="24"/>
          <w:szCs w:val="24"/>
        </w:rPr>
        <w:t xml:space="preserve">The National MIA report will incorporate a summary of the major emissions and releases in the country as well as a review of the major institutional and legislative gaps identified during the MIA process. </w:t>
      </w:r>
      <w:r w:rsidR="00284EAD" w:rsidRPr="00EC5DCC">
        <w:rPr>
          <w:rFonts w:cstheme="minorHAnsi"/>
          <w:sz w:val="24"/>
          <w:szCs w:val="24"/>
        </w:rPr>
        <w:t>B</w:t>
      </w:r>
      <w:r w:rsidR="009522F9" w:rsidRPr="00EC5DCC">
        <w:rPr>
          <w:rFonts w:cstheme="minorHAnsi"/>
          <w:sz w:val="24"/>
          <w:szCs w:val="24"/>
        </w:rPr>
        <w:t xml:space="preserve">RI will help to coordinate input from the National Project Coordinator and </w:t>
      </w:r>
      <w:r w:rsidR="003354BB">
        <w:rPr>
          <w:rFonts w:cstheme="minorHAnsi"/>
          <w:sz w:val="24"/>
          <w:szCs w:val="24"/>
        </w:rPr>
        <w:t>relevant stakeholders</w:t>
      </w:r>
      <w:r w:rsidR="009522F9" w:rsidRPr="00EC5DCC">
        <w:rPr>
          <w:rFonts w:cstheme="minorHAnsi"/>
          <w:sz w:val="24"/>
          <w:szCs w:val="24"/>
        </w:rPr>
        <w:t xml:space="preserve"> to develop a comprehensive MIA report. The report will seek to identify populations at risk of mercury exposure including gender dimensions.</w:t>
      </w:r>
    </w:p>
    <w:p w14:paraId="0452D318" w14:textId="77777777" w:rsidR="008836F4" w:rsidRPr="00EC5DCC" w:rsidRDefault="009522F9" w:rsidP="002350CB">
      <w:pPr>
        <w:jc w:val="both"/>
        <w:rPr>
          <w:rFonts w:cstheme="minorHAnsi"/>
          <w:sz w:val="24"/>
          <w:szCs w:val="24"/>
        </w:rPr>
      </w:pPr>
      <w:r w:rsidRPr="00EC5DCC">
        <w:rPr>
          <w:rFonts w:cstheme="minorHAnsi"/>
          <w:sz w:val="24"/>
          <w:szCs w:val="24"/>
        </w:rPr>
        <w:t xml:space="preserve">The MIA report will also include an important section that identifies priorities for future action related to potential interventions and the incorporation of Best Available Technologies and Best Environmental Practices (BAT/BEP). The Secretariat of the Minamata Convention, in collaboration with partnership area groups have developed a series of proposals for BAT/BEP standards. These standards will be finalized prior to the INC8/COP1 meeting for the Minamata Convention, currently scheduled for late September. </w:t>
      </w:r>
    </w:p>
    <w:p w14:paraId="51112E1D" w14:textId="6CB7CC18" w:rsidR="009522F9" w:rsidRPr="00EC5DCC" w:rsidRDefault="009522F9" w:rsidP="00C200B4">
      <w:pPr>
        <w:jc w:val="both"/>
        <w:rPr>
          <w:rFonts w:cstheme="minorHAnsi"/>
          <w:sz w:val="24"/>
          <w:szCs w:val="24"/>
        </w:rPr>
      </w:pPr>
      <w:r w:rsidRPr="00EC5DCC">
        <w:rPr>
          <w:rFonts w:cstheme="minorHAnsi"/>
          <w:sz w:val="24"/>
          <w:szCs w:val="24"/>
        </w:rPr>
        <w:t xml:space="preserve">The National MIA report will follow </w:t>
      </w:r>
      <w:r w:rsidR="00472428" w:rsidRPr="00EC5DCC">
        <w:rPr>
          <w:rFonts w:cstheme="minorHAnsi"/>
          <w:sz w:val="24"/>
          <w:szCs w:val="24"/>
        </w:rPr>
        <w:t>established guidelines for MIA reporting. These guidelines are available here (http://www.undp.org/content/undp/en/home/librarypage/environment-energy/chemicals_management/undp-minamata-initial-assessment-guidance-.html) and are briefly summarized below.</w:t>
      </w:r>
    </w:p>
    <w:p w14:paraId="1B22F4F7" w14:textId="77777777" w:rsidR="009522F9" w:rsidRPr="00691F5E" w:rsidRDefault="009522F9" w:rsidP="009522F9">
      <w:pPr>
        <w:pStyle w:val="ListParagraph"/>
        <w:numPr>
          <w:ilvl w:val="0"/>
          <w:numId w:val="30"/>
        </w:numPr>
        <w:jc w:val="both"/>
        <w:rPr>
          <w:rFonts w:cstheme="minorHAnsi"/>
          <w:sz w:val="22"/>
          <w:szCs w:val="22"/>
        </w:rPr>
      </w:pPr>
      <w:r w:rsidRPr="00691F5E">
        <w:rPr>
          <w:rFonts w:cstheme="minorHAnsi"/>
          <w:sz w:val="22"/>
          <w:szCs w:val="22"/>
        </w:rPr>
        <w:t>Executive summary:</w:t>
      </w:r>
    </w:p>
    <w:p w14:paraId="271C66D2" w14:textId="77777777" w:rsidR="009522F9" w:rsidRPr="00691F5E" w:rsidRDefault="009522F9" w:rsidP="009522F9">
      <w:pPr>
        <w:pStyle w:val="ListParagraph"/>
        <w:numPr>
          <w:ilvl w:val="0"/>
          <w:numId w:val="30"/>
        </w:numPr>
        <w:jc w:val="both"/>
        <w:rPr>
          <w:rFonts w:cstheme="minorHAnsi"/>
          <w:sz w:val="22"/>
          <w:szCs w:val="22"/>
        </w:rPr>
      </w:pPr>
      <w:r w:rsidRPr="00691F5E">
        <w:rPr>
          <w:rFonts w:cstheme="minorHAnsi"/>
          <w:sz w:val="22"/>
          <w:szCs w:val="22"/>
        </w:rPr>
        <w:t>Introduction;</w:t>
      </w:r>
    </w:p>
    <w:p w14:paraId="07A15DE2" w14:textId="77777777" w:rsidR="009522F9" w:rsidRPr="00691F5E" w:rsidRDefault="009522F9" w:rsidP="009522F9">
      <w:pPr>
        <w:pStyle w:val="ListParagraph"/>
        <w:numPr>
          <w:ilvl w:val="0"/>
          <w:numId w:val="30"/>
        </w:numPr>
        <w:jc w:val="both"/>
        <w:rPr>
          <w:rFonts w:cstheme="minorHAnsi"/>
          <w:sz w:val="22"/>
          <w:szCs w:val="22"/>
        </w:rPr>
      </w:pPr>
      <w:r w:rsidRPr="00691F5E">
        <w:rPr>
          <w:rFonts w:cstheme="minorHAnsi"/>
          <w:sz w:val="22"/>
          <w:szCs w:val="22"/>
        </w:rPr>
        <w:t>National background information;</w:t>
      </w:r>
    </w:p>
    <w:p w14:paraId="549B678A" w14:textId="77777777" w:rsidR="009522F9" w:rsidRPr="00691F5E" w:rsidRDefault="009522F9" w:rsidP="009522F9">
      <w:pPr>
        <w:pStyle w:val="ListParagraph"/>
        <w:numPr>
          <w:ilvl w:val="0"/>
          <w:numId w:val="30"/>
        </w:numPr>
        <w:jc w:val="both"/>
        <w:rPr>
          <w:rFonts w:cstheme="minorHAnsi"/>
          <w:sz w:val="22"/>
          <w:szCs w:val="22"/>
        </w:rPr>
      </w:pPr>
      <w:r w:rsidRPr="00691F5E">
        <w:rPr>
          <w:rFonts w:cstheme="minorHAnsi"/>
          <w:sz w:val="22"/>
          <w:szCs w:val="22"/>
        </w:rPr>
        <w:t>Mercury inventory and emission sources;</w:t>
      </w:r>
    </w:p>
    <w:p w14:paraId="68DFFB10" w14:textId="77777777" w:rsidR="009522F9" w:rsidRPr="00691F5E" w:rsidRDefault="009522F9" w:rsidP="009522F9">
      <w:pPr>
        <w:pStyle w:val="ListParagraph"/>
        <w:numPr>
          <w:ilvl w:val="0"/>
          <w:numId w:val="30"/>
        </w:numPr>
        <w:jc w:val="both"/>
        <w:rPr>
          <w:rFonts w:cstheme="minorHAnsi"/>
          <w:sz w:val="22"/>
          <w:szCs w:val="22"/>
        </w:rPr>
      </w:pPr>
      <w:r w:rsidRPr="00691F5E">
        <w:rPr>
          <w:rFonts w:cstheme="minorHAnsi"/>
          <w:sz w:val="22"/>
          <w:szCs w:val="22"/>
        </w:rPr>
        <w:t>Assessment of legal-regulatory, policy and institutional frameworks and capacity needs;</w:t>
      </w:r>
    </w:p>
    <w:p w14:paraId="73AF7E29" w14:textId="77777777" w:rsidR="009522F9" w:rsidRPr="00691F5E" w:rsidRDefault="009522F9" w:rsidP="009522F9">
      <w:pPr>
        <w:pStyle w:val="ListParagraph"/>
        <w:numPr>
          <w:ilvl w:val="0"/>
          <w:numId w:val="30"/>
        </w:numPr>
        <w:jc w:val="both"/>
        <w:rPr>
          <w:rFonts w:cstheme="minorHAnsi"/>
          <w:sz w:val="22"/>
          <w:szCs w:val="22"/>
        </w:rPr>
      </w:pPr>
      <w:r w:rsidRPr="00691F5E">
        <w:rPr>
          <w:rFonts w:cstheme="minorHAnsi"/>
          <w:sz w:val="22"/>
          <w:szCs w:val="22"/>
        </w:rPr>
        <w:t>Identification of populations at risks and gender dimensions</w:t>
      </w:r>
    </w:p>
    <w:p w14:paraId="2E87D392" w14:textId="77777777" w:rsidR="009522F9" w:rsidRPr="00691F5E" w:rsidRDefault="009522F9" w:rsidP="009522F9">
      <w:pPr>
        <w:pStyle w:val="ListParagraph"/>
        <w:numPr>
          <w:ilvl w:val="0"/>
          <w:numId w:val="30"/>
        </w:numPr>
        <w:jc w:val="both"/>
        <w:rPr>
          <w:rFonts w:cstheme="minorHAnsi"/>
          <w:sz w:val="22"/>
          <w:szCs w:val="22"/>
        </w:rPr>
      </w:pPr>
      <w:r w:rsidRPr="00691F5E">
        <w:rPr>
          <w:rFonts w:cstheme="minorHAnsi"/>
          <w:sz w:val="22"/>
          <w:szCs w:val="22"/>
        </w:rPr>
        <w:t>Awareness/Understanding of Key Stakeholders and the Public; and Existing  Training and Education Opportunities of Target Groups and Professionals</w:t>
      </w:r>
    </w:p>
    <w:p w14:paraId="2BCC5870" w14:textId="77777777" w:rsidR="009522F9" w:rsidRPr="00691F5E" w:rsidRDefault="009522F9" w:rsidP="009522F9">
      <w:pPr>
        <w:pStyle w:val="ListParagraph"/>
        <w:numPr>
          <w:ilvl w:val="0"/>
          <w:numId w:val="30"/>
        </w:numPr>
        <w:jc w:val="both"/>
        <w:rPr>
          <w:rFonts w:cstheme="minorHAnsi"/>
          <w:sz w:val="22"/>
          <w:szCs w:val="22"/>
        </w:rPr>
      </w:pPr>
      <w:r w:rsidRPr="00691F5E">
        <w:rPr>
          <w:rFonts w:cstheme="minorHAnsi"/>
          <w:sz w:val="22"/>
          <w:szCs w:val="22"/>
        </w:rPr>
        <w:t>Implementation Plan &amp; Priorities for Action</w:t>
      </w:r>
    </w:p>
    <w:p w14:paraId="76867371" w14:textId="7D76B935" w:rsidR="009522F9" w:rsidRPr="00691F5E" w:rsidRDefault="009522F9" w:rsidP="00610138">
      <w:pPr>
        <w:pStyle w:val="ListParagraph"/>
        <w:numPr>
          <w:ilvl w:val="0"/>
          <w:numId w:val="30"/>
        </w:numPr>
        <w:jc w:val="both"/>
        <w:rPr>
          <w:rFonts w:cstheme="minorHAnsi"/>
          <w:sz w:val="22"/>
          <w:szCs w:val="22"/>
        </w:rPr>
      </w:pPr>
      <w:r w:rsidRPr="00691F5E">
        <w:rPr>
          <w:rFonts w:cstheme="minorHAnsi"/>
          <w:sz w:val="22"/>
          <w:szCs w:val="22"/>
        </w:rPr>
        <w:t>Annexes:</w:t>
      </w:r>
      <w:r w:rsidR="00610138" w:rsidRPr="00691F5E">
        <w:rPr>
          <w:rFonts w:cstheme="minorHAnsi"/>
          <w:sz w:val="22"/>
          <w:szCs w:val="22"/>
        </w:rPr>
        <w:t xml:space="preserve"> (a) </w:t>
      </w:r>
      <w:r w:rsidRPr="00691F5E">
        <w:rPr>
          <w:rFonts w:cstheme="minorHAnsi"/>
          <w:sz w:val="22"/>
          <w:szCs w:val="22"/>
        </w:rPr>
        <w:t>Stakeholder engagement;</w:t>
      </w:r>
      <w:r w:rsidR="00610138" w:rsidRPr="00691F5E">
        <w:rPr>
          <w:rFonts w:cstheme="minorHAnsi"/>
          <w:sz w:val="22"/>
          <w:szCs w:val="22"/>
        </w:rPr>
        <w:t xml:space="preserve"> (b) </w:t>
      </w:r>
      <w:r w:rsidRPr="00691F5E">
        <w:rPr>
          <w:rFonts w:cstheme="minorHAnsi"/>
          <w:sz w:val="22"/>
          <w:szCs w:val="22"/>
        </w:rPr>
        <w:t>Filled in UNEP toolkit calculation spreadsheet.</w:t>
      </w:r>
    </w:p>
    <w:p w14:paraId="070CE02C" w14:textId="49CC7869" w:rsidR="009522F9" w:rsidRPr="00691F5E" w:rsidRDefault="009522F9" w:rsidP="00C200B4">
      <w:pPr>
        <w:pStyle w:val="ListParagraph"/>
        <w:numPr>
          <w:ilvl w:val="0"/>
          <w:numId w:val="30"/>
        </w:numPr>
        <w:jc w:val="both"/>
        <w:rPr>
          <w:rFonts w:cstheme="minorHAnsi"/>
          <w:sz w:val="22"/>
          <w:szCs w:val="22"/>
        </w:rPr>
      </w:pPr>
      <w:r w:rsidRPr="00691F5E">
        <w:rPr>
          <w:rFonts w:cstheme="minorHAnsi"/>
          <w:sz w:val="22"/>
          <w:szCs w:val="22"/>
        </w:rPr>
        <w:t>References</w:t>
      </w:r>
    </w:p>
    <w:p w14:paraId="20F26A87" w14:textId="3071C335" w:rsidR="00FC10F3" w:rsidRPr="00691F5E" w:rsidRDefault="00FC10F3" w:rsidP="009522F9">
      <w:pPr>
        <w:jc w:val="both"/>
        <w:rPr>
          <w:rFonts w:cstheme="minorHAnsi"/>
          <w:sz w:val="24"/>
          <w:szCs w:val="24"/>
        </w:rPr>
      </w:pPr>
      <w:r w:rsidRPr="00691F5E">
        <w:rPr>
          <w:rFonts w:cstheme="minorHAnsi"/>
          <w:sz w:val="24"/>
          <w:szCs w:val="24"/>
        </w:rPr>
        <w:t xml:space="preserve">The National Working Groups </w:t>
      </w:r>
      <w:r w:rsidR="00547A0F" w:rsidRPr="00691F5E">
        <w:rPr>
          <w:rFonts w:cstheme="minorHAnsi"/>
          <w:sz w:val="24"/>
          <w:szCs w:val="24"/>
        </w:rPr>
        <w:t xml:space="preserve">(NWG) </w:t>
      </w:r>
      <w:r w:rsidR="00A51B03" w:rsidRPr="00691F5E">
        <w:rPr>
          <w:rFonts w:cstheme="minorHAnsi"/>
          <w:sz w:val="24"/>
          <w:szCs w:val="24"/>
        </w:rPr>
        <w:t xml:space="preserve">established for each country </w:t>
      </w:r>
      <w:r w:rsidRPr="00691F5E">
        <w:rPr>
          <w:rFonts w:cstheme="minorHAnsi"/>
          <w:sz w:val="24"/>
          <w:szCs w:val="24"/>
        </w:rPr>
        <w:t xml:space="preserve">will </w:t>
      </w:r>
      <w:r w:rsidR="00A51B03" w:rsidRPr="00691F5E">
        <w:rPr>
          <w:rFonts w:cstheme="minorHAnsi"/>
          <w:sz w:val="24"/>
          <w:szCs w:val="24"/>
        </w:rPr>
        <w:t xml:space="preserve">review the draft MIA report and provide to BRI for </w:t>
      </w:r>
      <w:r w:rsidR="00547A0F" w:rsidRPr="00691F5E">
        <w:rPr>
          <w:rFonts w:cstheme="minorHAnsi"/>
          <w:sz w:val="24"/>
          <w:szCs w:val="24"/>
        </w:rPr>
        <w:t>review – there may be 1-2 iterations between the NWGs and BRI.</w:t>
      </w:r>
    </w:p>
    <w:p w14:paraId="1400B3A1" w14:textId="22C41F50" w:rsidR="009522F9" w:rsidRPr="00EC5DCC" w:rsidRDefault="009522F9" w:rsidP="009522F9">
      <w:pPr>
        <w:jc w:val="both"/>
        <w:rPr>
          <w:rFonts w:cstheme="minorHAnsi"/>
          <w:b/>
          <w:sz w:val="28"/>
          <w:szCs w:val="28"/>
        </w:rPr>
      </w:pPr>
      <w:r w:rsidRPr="00EC5DCC">
        <w:rPr>
          <w:rFonts w:cstheme="minorHAnsi"/>
          <w:b/>
          <w:sz w:val="28"/>
          <w:szCs w:val="28"/>
        </w:rPr>
        <w:lastRenderedPageBreak/>
        <w:t xml:space="preserve">Tasks </w:t>
      </w:r>
      <w:r w:rsidR="00BE56A3">
        <w:rPr>
          <w:rFonts w:cstheme="minorHAnsi"/>
          <w:b/>
          <w:sz w:val="28"/>
          <w:szCs w:val="28"/>
        </w:rPr>
        <w:t>8</w:t>
      </w:r>
      <w:r w:rsidRPr="00EC5DCC">
        <w:rPr>
          <w:rFonts w:cstheme="minorHAnsi"/>
          <w:b/>
          <w:sz w:val="28"/>
          <w:szCs w:val="28"/>
        </w:rPr>
        <w:t xml:space="preserve">. Dissemination of Results </w:t>
      </w:r>
    </w:p>
    <w:p w14:paraId="79F7F170" w14:textId="2E8F6D51" w:rsidR="00614EFC" w:rsidRDefault="00614EFC" w:rsidP="00472428">
      <w:pPr>
        <w:jc w:val="both"/>
        <w:rPr>
          <w:rFonts w:cstheme="minorHAnsi"/>
          <w:sz w:val="24"/>
          <w:szCs w:val="24"/>
        </w:rPr>
      </w:pPr>
      <w:r w:rsidRPr="00EC5DCC">
        <w:rPr>
          <w:rFonts w:cstheme="minorHAnsi"/>
          <w:sz w:val="24"/>
          <w:szCs w:val="24"/>
        </w:rPr>
        <w:t>The development of the overall communications strategy for the MIA will be the responsibility of</w:t>
      </w:r>
      <w:r w:rsidR="00D517C5">
        <w:rPr>
          <w:rFonts w:cstheme="minorHAnsi"/>
          <w:sz w:val="24"/>
          <w:szCs w:val="24"/>
        </w:rPr>
        <w:t xml:space="preserve"> SPREP</w:t>
      </w:r>
      <w:r w:rsidRPr="00EC5DCC">
        <w:rPr>
          <w:rFonts w:cstheme="minorHAnsi"/>
          <w:sz w:val="24"/>
          <w:szCs w:val="24"/>
        </w:rPr>
        <w:t>. However, national workshops will be held to present the overall results of the N</w:t>
      </w:r>
      <w:r w:rsidR="00472428" w:rsidRPr="00EC5DCC">
        <w:rPr>
          <w:rFonts w:cstheme="minorHAnsi"/>
          <w:sz w:val="24"/>
          <w:szCs w:val="24"/>
        </w:rPr>
        <w:t xml:space="preserve">ational </w:t>
      </w:r>
      <w:r w:rsidRPr="00EC5DCC">
        <w:rPr>
          <w:rFonts w:cstheme="minorHAnsi"/>
          <w:sz w:val="24"/>
          <w:szCs w:val="24"/>
        </w:rPr>
        <w:t xml:space="preserve">Mercury Profiles and National MIA reports. These workshops will be organized and coordinated by the National Project Coordinators in each country and will include representation from all of the major sectors responsible for mercury emissions and releases in each country. </w:t>
      </w:r>
    </w:p>
    <w:p w14:paraId="00D2AE9E" w14:textId="2B39A263" w:rsidR="005D1714" w:rsidRPr="00EC5DCC" w:rsidRDefault="005D1714" w:rsidP="00472428">
      <w:pPr>
        <w:jc w:val="both"/>
        <w:rPr>
          <w:rFonts w:cstheme="minorHAnsi"/>
          <w:sz w:val="24"/>
          <w:szCs w:val="24"/>
        </w:rPr>
      </w:pPr>
      <w:r>
        <w:rPr>
          <w:rFonts w:cstheme="minorHAnsi"/>
          <w:sz w:val="24"/>
          <w:szCs w:val="24"/>
        </w:rPr>
        <w:t xml:space="preserve">The findings of sampling efforts of the fish and cosmetics, as well as the </w:t>
      </w:r>
      <w:r w:rsidR="00A11699">
        <w:rPr>
          <w:rFonts w:cstheme="minorHAnsi"/>
          <w:sz w:val="24"/>
          <w:szCs w:val="24"/>
        </w:rPr>
        <w:t>mapping of contaminated sites and mapping of biological mercury hotpots will be presented by BRI at the validation workshop.</w:t>
      </w:r>
    </w:p>
    <w:p w14:paraId="37F6609B" w14:textId="10FD7D16" w:rsidR="00614EFC" w:rsidRDefault="00614EFC" w:rsidP="00472428">
      <w:pPr>
        <w:jc w:val="both"/>
        <w:rPr>
          <w:rFonts w:ascii="Times New Roman" w:hAnsi="Times New Roman"/>
          <w:sz w:val="24"/>
          <w:szCs w:val="24"/>
        </w:rPr>
      </w:pPr>
      <w:r w:rsidRPr="00EC5DCC">
        <w:rPr>
          <w:rFonts w:cstheme="minorHAnsi"/>
          <w:sz w:val="24"/>
          <w:szCs w:val="24"/>
        </w:rPr>
        <w:t xml:space="preserve">As part of these national workshops, BRI will prepare a communication piece that summarizes the results of the strategy for identifying contaminated sites as well as the results from the fish mercury analysis. The format of these communication pieces has yet to be defined and drafts will be circulated to </w:t>
      </w:r>
      <w:r w:rsidR="00D517C5">
        <w:rPr>
          <w:rFonts w:cstheme="minorHAnsi"/>
          <w:sz w:val="24"/>
          <w:szCs w:val="24"/>
        </w:rPr>
        <w:t>SPREP</w:t>
      </w:r>
      <w:r w:rsidRPr="00EC5DCC">
        <w:rPr>
          <w:rFonts w:cstheme="minorHAnsi"/>
          <w:sz w:val="24"/>
          <w:szCs w:val="24"/>
        </w:rPr>
        <w:t xml:space="preserve"> and members of the Project Steering Committee for approval prior to completion.</w:t>
      </w:r>
      <w:r>
        <w:rPr>
          <w:rFonts w:ascii="Times New Roman" w:hAnsi="Times New Roman"/>
          <w:sz w:val="24"/>
          <w:szCs w:val="24"/>
        </w:rPr>
        <w:t xml:space="preserve"> </w:t>
      </w:r>
    </w:p>
    <w:p w14:paraId="01E4EB29" w14:textId="77777777" w:rsidR="00614EFC" w:rsidRDefault="00614EFC" w:rsidP="003A5B06">
      <w:pPr>
        <w:pStyle w:val="Heading1"/>
        <w:spacing w:before="240"/>
        <w:sectPr w:rsidR="00614EFC" w:rsidSect="007E0C2A">
          <w:footerReference w:type="default" r:id="rId11"/>
          <w:pgSz w:w="12240" w:h="15840"/>
          <w:pgMar w:top="1440" w:right="1440" w:bottom="1440" w:left="1440" w:header="720" w:footer="720" w:gutter="0"/>
          <w:pgNumType w:start="0"/>
          <w:cols w:space="720"/>
          <w:titlePg/>
          <w:docGrid w:linePitch="360"/>
        </w:sectPr>
      </w:pPr>
    </w:p>
    <w:p w14:paraId="461E36FF" w14:textId="64EA8CC3" w:rsidR="00614EFC" w:rsidRDefault="003A5B06" w:rsidP="003A5B06">
      <w:pPr>
        <w:pStyle w:val="Heading1"/>
        <w:spacing w:before="240"/>
      </w:pPr>
      <w:r>
        <w:lastRenderedPageBreak/>
        <w:t xml:space="preserve">III. Project </w:t>
      </w:r>
      <w:r w:rsidRPr="000641E7">
        <w:t>Gantt</w:t>
      </w:r>
      <w:r>
        <w:t xml:space="preserve"> Chart</w:t>
      </w:r>
      <w:r w:rsidR="006B2D3B">
        <w:t xml:space="preserve">: </w:t>
      </w:r>
      <w:r w:rsidR="001375D2">
        <w:t>Red signifies Deliverable due</w:t>
      </w:r>
      <w:r w:rsidR="006B2D3B">
        <w:t xml:space="preserve"> and BLUE </w:t>
      </w:r>
      <w:r w:rsidR="00A60542">
        <w:t>IDENTIFIES TIMELINE BY TASK</w:t>
      </w:r>
    </w:p>
    <w:p w14:paraId="1030A9D6" w14:textId="70AEA1F9" w:rsidR="003A5B06" w:rsidRDefault="00A46072" w:rsidP="003A5B06">
      <w:pPr>
        <w:pStyle w:val="Heading1"/>
        <w:spacing w:before="240"/>
      </w:pPr>
      <w:r w:rsidRPr="00A46072">
        <w:rPr>
          <w:noProof/>
        </w:rPr>
        <w:drawing>
          <wp:inline distT="0" distB="0" distL="0" distR="0" wp14:anchorId="724568D9" wp14:editId="317F3151">
            <wp:extent cx="8134502" cy="534656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44666" cy="5353249"/>
                    </a:xfrm>
                    <a:prstGeom prst="rect">
                      <a:avLst/>
                    </a:prstGeom>
                    <a:noFill/>
                    <a:ln>
                      <a:noFill/>
                    </a:ln>
                  </pic:spPr>
                </pic:pic>
              </a:graphicData>
            </a:graphic>
          </wp:inline>
        </w:drawing>
      </w:r>
    </w:p>
    <w:sectPr w:rsidR="003A5B06" w:rsidSect="00614EFC">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76BF4" w14:textId="77777777" w:rsidR="00507F12" w:rsidRDefault="00507F12">
      <w:r>
        <w:separator/>
      </w:r>
    </w:p>
    <w:p w14:paraId="3B75608F" w14:textId="77777777" w:rsidR="00507F12" w:rsidRDefault="00507F12"/>
  </w:endnote>
  <w:endnote w:type="continuationSeparator" w:id="0">
    <w:p w14:paraId="02AA53A6" w14:textId="77777777" w:rsidR="00507F12" w:rsidRDefault="00507F12">
      <w:r>
        <w:continuationSeparator/>
      </w:r>
    </w:p>
    <w:p w14:paraId="5B57AB58" w14:textId="77777777" w:rsidR="00507F12" w:rsidRDefault="00507F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42710"/>
      <w:docPartObj>
        <w:docPartGallery w:val="Page Numbers (Bottom of Page)"/>
        <w:docPartUnique/>
      </w:docPartObj>
    </w:sdtPr>
    <w:sdtEndPr>
      <w:rPr>
        <w:color w:val="7F7F7F" w:themeColor="background1" w:themeShade="7F"/>
        <w:spacing w:val="60"/>
      </w:rPr>
    </w:sdtEndPr>
    <w:sdtContent>
      <w:p w14:paraId="70F1F4CA" w14:textId="3CA405CD" w:rsidR="00DB1C37" w:rsidRDefault="00DB1C3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6CADFF8" w14:textId="77777777" w:rsidR="00614EFC" w:rsidRDefault="00614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BE1BD" w14:textId="77777777" w:rsidR="00507F12" w:rsidRDefault="00507F12">
      <w:r>
        <w:separator/>
      </w:r>
    </w:p>
    <w:p w14:paraId="58BFEEBE" w14:textId="77777777" w:rsidR="00507F12" w:rsidRDefault="00507F12"/>
  </w:footnote>
  <w:footnote w:type="continuationSeparator" w:id="0">
    <w:p w14:paraId="11A756B9" w14:textId="77777777" w:rsidR="00507F12" w:rsidRDefault="00507F12">
      <w:r>
        <w:continuationSeparator/>
      </w:r>
    </w:p>
    <w:p w14:paraId="5BB6B94B" w14:textId="77777777" w:rsidR="00507F12" w:rsidRDefault="00507F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42A"/>
    <w:multiLevelType w:val="hybridMultilevel"/>
    <w:tmpl w:val="7DEE9E4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2D430BC"/>
    <w:multiLevelType w:val="hybridMultilevel"/>
    <w:tmpl w:val="A44A2A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B1670"/>
    <w:multiLevelType w:val="hybridMultilevel"/>
    <w:tmpl w:val="5B205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518A1"/>
    <w:multiLevelType w:val="hybridMultilevel"/>
    <w:tmpl w:val="FCFA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64BC6"/>
    <w:multiLevelType w:val="hybridMultilevel"/>
    <w:tmpl w:val="4D74E7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07332E"/>
    <w:multiLevelType w:val="hybridMultilevel"/>
    <w:tmpl w:val="F8346F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A60AA9"/>
    <w:multiLevelType w:val="hybridMultilevel"/>
    <w:tmpl w:val="DD2A55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12AD0"/>
    <w:multiLevelType w:val="hybridMultilevel"/>
    <w:tmpl w:val="C6CC2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E408BC"/>
    <w:multiLevelType w:val="multilevel"/>
    <w:tmpl w:val="E4A0580E"/>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7170022"/>
    <w:multiLevelType w:val="hybridMultilevel"/>
    <w:tmpl w:val="AB06922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18D60148"/>
    <w:multiLevelType w:val="multilevel"/>
    <w:tmpl w:val="A90A7918"/>
    <w:lvl w:ilvl="0">
      <w:start w:val="1"/>
      <w:numFmt w:val="decimal"/>
      <w:lvlText w:val="%1"/>
      <w:lvlJc w:val="left"/>
      <w:pPr>
        <w:ind w:left="461" w:hanging="461"/>
      </w:pPr>
      <w:rPr>
        <w:rFonts w:hint="default"/>
      </w:rPr>
    </w:lvl>
    <w:lvl w:ilvl="1">
      <w:start w:val="2"/>
      <w:numFmt w:val="decimal"/>
      <w:lvlText w:val="%1.%2"/>
      <w:lvlJc w:val="left"/>
      <w:pPr>
        <w:ind w:left="641" w:hanging="461"/>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1" w15:restartNumberingAfterBreak="0">
    <w:nsid w:val="1E13063C"/>
    <w:multiLevelType w:val="hybridMultilevel"/>
    <w:tmpl w:val="BCEA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5B3F22"/>
    <w:multiLevelType w:val="hybridMultilevel"/>
    <w:tmpl w:val="686C6F9C"/>
    <w:lvl w:ilvl="0" w:tplc="04090013">
      <w:start w:val="1"/>
      <w:numFmt w:val="upperRoman"/>
      <w:lvlText w:val="%1."/>
      <w:lvlJc w:val="righ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AA156C"/>
    <w:multiLevelType w:val="multilevel"/>
    <w:tmpl w:val="323A3482"/>
    <w:lvl w:ilvl="0">
      <w:start w:val="1"/>
      <w:numFmt w:val="decimal"/>
      <w:lvlText w:val="%1."/>
      <w:lvlJc w:val="left"/>
      <w:pPr>
        <w:ind w:left="630" w:hanging="360"/>
      </w:pPr>
      <w:rPr>
        <w:rFonts w:hint="default"/>
      </w:rPr>
    </w:lvl>
    <w:lvl w:ilvl="1">
      <w:start w:val="2"/>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1710" w:hanging="1440"/>
      </w:pPr>
      <w:rPr>
        <w:rFonts w:hint="default"/>
      </w:rPr>
    </w:lvl>
  </w:abstractNum>
  <w:abstractNum w:abstractNumId="15" w15:restartNumberingAfterBreak="0">
    <w:nsid w:val="2B1F1003"/>
    <w:multiLevelType w:val="hybridMultilevel"/>
    <w:tmpl w:val="63E84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25F4E"/>
    <w:multiLevelType w:val="multilevel"/>
    <w:tmpl w:val="C9FC3E4C"/>
    <w:lvl w:ilvl="0">
      <w:start w:val="1"/>
      <w:numFmt w:val="decimal"/>
      <w:lvlText w:val="%1."/>
      <w:lvlJc w:val="left"/>
      <w:pPr>
        <w:ind w:left="360" w:hanging="360"/>
      </w:pPr>
      <w:rPr>
        <w:rFonts w:hint="default"/>
      </w:rPr>
    </w:lvl>
    <w:lvl w:ilvl="1">
      <w:start w:val="1"/>
      <w:numFmt w:val="decimal"/>
      <w:isLgl/>
      <w:lvlText w:val="%1.%2"/>
      <w:lvlJc w:val="left"/>
      <w:pPr>
        <w:ind w:left="403" w:hanging="403"/>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3D8D11A9"/>
    <w:multiLevelType w:val="hybridMultilevel"/>
    <w:tmpl w:val="7AB0478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60EB6"/>
    <w:multiLevelType w:val="hybridMultilevel"/>
    <w:tmpl w:val="9B7E9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E0339"/>
    <w:multiLevelType w:val="multilevel"/>
    <w:tmpl w:val="AD6C97C0"/>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5A216C5"/>
    <w:multiLevelType w:val="hybridMultilevel"/>
    <w:tmpl w:val="B490A3C6"/>
    <w:lvl w:ilvl="0" w:tplc="7806094A">
      <w:start w:val="1"/>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F73BCB"/>
    <w:multiLevelType w:val="multilevel"/>
    <w:tmpl w:val="7C7CFF10"/>
    <w:lvl w:ilvl="0">
      <w:start w:val="1"/>
      <w:numFmt w:val="decimal"/>
      <w:lvlText w:val="%1."/>
      <w:lvlJc w:val="left"/>
      <w:pPr>
        <w:ind w:left="360" w:hanging="360"/>
      </w:pPr>
      <w:rPr>
        <w:rFonts w:hint="default"/>
      </w:rPr>
    </w:lvl>
    <w:lvl w:ilvl="1">
      <w:start w:val="1"/>
      <w:numFmt w:val="decimal"/>
      <w:isLgl/>
      <w:lvlText w:val="%1.%2"/>
      <w:lvlJc w:val="left"/>
      <w:pPr>
        <w:ind w:left="641" w:hanging="46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880" w:hanging="1440"/>
      </w:pPr>
      <w:rPr>
        <w:rFonts w:hint="default"/>
      </w:rPr>
    </w:lvl>
  </w:abstractNum>
  <w:abstractNum w:abstractNumId="22" w15:restartNumberingAfterBreak="0">
    <w:nsid w:val="4B3B4CFB"/>
    <w:multiLevelType w:val="multilevel"/>
    <w:tmpl w:val="20444AD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440015"/>
    <w:multiLevelType w:val="hybridMultilevel"/>
    <w:tmpl w:val="F8A44F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F76697"/>
    <w:multiLevelType w:val="multilevel"/>
    <w:tmpl w:val="4534689A"/>
    <w:lvl w:ilvl="0">
      <w:start w:val="2"/>
      <w:numFmt w:val="decimal"/>
      <w:lvlText w:val="%1"/>
      <w:lvlJc w:val="left"/>
      <w:pPr>
        <w:ind w:left="461" w:hanging="461"/>
      </w:pPr>
      <w:rPr>
        <w:rFonts w:hint="default"/>
      </w:rPr>
    </w:lvl>
    <w:lvl w:ilvl="1">
      <w:start w:val="1"/>
      <w:numFmt w:val="decimal"/>
      <w:lvlText w:val="%1.%2"/>
      <w:lvlJc w:val="left"/>
      <w:pPr>
        <w:ind w:left="461" w:hanging="461"/>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CCE19F5"/>
    <w:multiLevelType w:val="multilevel"/>
    <w:tmpl w:val="094E6CF8"/>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06726CB"/>
    <w:multiLevelType w:val="hybridMultilevel"/>
    <w:tmpl w:val="E2CE8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2E4420"/>
    <w:multiLevelType w:val="hybridMultilevel"/>
    <w:tmpl w:val="60FE6F9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66AF0905"/>
    <w:multiLevelType w:val="hybridMultilevel"/>
    <w:tmpl w:val="886AEAD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795A5739"/>
    <w:multiLevelType w:val="multilevel"/>
    <w:tmpl w:val="D688AB50"/>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E611A66"/>
    <w:multiLevelType w:val="multilevel"/>
    <w:tmpl w:val="D688AB50"/>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FE713E9"/>
    <w:multiLevelType w:val="multilevel"/>
    <w:tmpl w:val="F050B8F8"/>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5"/>
  </w:num>
  <w:num w:numId="3">
    <w:abstractNumId w:val="4"/>
  </w:num>
  <w:num w:numId="4">
    <w:abstractNumId w:val="30"/>
  </w:num>
  <w:num w:numId="5">
    <w:abstractNumId w:val="28"/>
  </w:num>
  <w:num w:numId="6">
    <w:abstractNumId w:val="27"/>
  </w:num>
  <w:num w:numId="7">
    <w:abstractNumId w:val="20"/>
  </w:num>
  <w:num w:numId="8">
    <w:abstractNumId w:val="3"/>
  </w:num>
  <w:num w:numId="9">
    <w:abstractNumId w:val="16"/>
  </w:num>
  <w:num w:numId="10">
    <w:abstractNumId w:val="11"/>
  </w:num>
  <w:num w:numId="11">
    <w:abstractNumId w:val="21"/>
  </w:num>
  <w:num w:numId="12">
    <w:abstractNumId w:val="10"/>
  </w:num>
  <w:num w:numId="13">
    <w:abstractNumId w:val="14"/>
  </w:num>
  <w:num w:numId="14">
    <w:abstractNumId w:val="24"/>
  </w:num>
  <w:num w:numId="15">
    <w:abstractNumId w:val="18"/>
  </w:num>
  <w:num w:numId="16">
    <w:abstractNumId w:val="8"/>
  </w:num>
  <w:num w:numId="17">
    <w:abstractNumId w:val="1"/>
  </w:num>
  <w:num w:numId="18">
    <w:abstractNumId w:val="25"/>
  </w:num>
  <w:num w:numId="19">
    <w:abstractNumId w:val="17"/>
  </w:num>
  <w:num w:numId="20">
    <w:abstractNumId w:val="19"/>
  </w:num>
  <w:num w:numId="21">
    <w:abstractNumId w:val="23"/>
  </w:num>
  <w:num w:numId="22">
    <w:abstractNumId w:val="26"/>
  </w:num>
  <w:num w:numId="23">
    <w:abstractNumId w:val="29"/>
  </w:num>
  <w:num w:numId="24">
    <w:abstractNumId w:val="15"/>
  </w:num>
  <w:num w:numId="25">
    <w:abstractNumId w:val="2"/>
  </w:num>
  <w:num w:numId="26">
    <w:abstractNumId w:val="7"/>
  </w:num>
  <w:num w:numId="27">
    <w:abstractNumId w:val="6"/>
  </w:num>
  <w:num w:numId="28">
    <w:abstractNumId w:val="0"/>
  </w:num>
  <w:num w:numId="29">
    <w:abstractNumId w:val="9"/>
  </w:num>
  <w:num w:numId="30">
    <w:abstractNumId w:val="12"/>
  </w:num>
  <w:num w:numId="31">
    <w:abstractNumId w:val="22"/>
  </w:num>
  <w:num w:numId="32">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9A2"/>
    <w:rsid w:val="00005201"/>
    <w:rsid w:val="000207D1"/>
    <w:rsid w:val="000557CF"/>
    <w:rsid w:val="00061264"/>
    <w:rsid w:val="000649C2"/>
    <w:rsid w:val="0007545B"/>
    <w:rsid w:val="000D7956"/>
    <w:rsid w:val="000E1AD9"/>
    <w:rsid w:val="0010166A"/>
    <w:rsid w:val="00124DFA"/>
    <w:rsid w:val="001375D2"/>
    <w:rsid w:val="00191116"/>
    <w:rsid w:val="001D7CBE"/>
    <w:rsid w:val="001E2973"/>
    <w:rsid w:val="00214796"/>
    <w:rsid w:val="00223F89"/>
    <w:rsid w:val="00226F49"/>
    <w:rsid w:val="0023252A"/>
    <w:rsid w:val="002350CB"/>
    <w:rsid w:val="00284EAD"/>
    <w:rsid w:val="00297086"/>
    <w:rsid w:val="002C3987"/>
    <w:rsid w:val="002C6A8F"/>
    <w:rsid w:val="00301BC5"/>
    <w:rsid w:val="0032139B"/>
    <w:rsid w:val="00325180"/>
    <w:rsid w:val="003354BB"/>
    <w:rsid w:val="00370A7C"/>
    <w:rsid w:val="00390687"/>
    <w:rsid w:val="003A19A2"/>
    <w:rsid w:val="003A5B06"/>
    <w:rsid w:val="003C2171"/>
    <w:rsid w:val="003C5AC5"/>
    <w:rsid w:val="00411CE0"/>
    <w:rsid w:val="00432936"/>
    <w:rsid w:val="00436E68"/>
    <w:rsid w:val="00443BEC"/>
    <w:rsid w:val="00453B97"/>
    <w:rsid w:val="00472428"/>
    <w:rsid w:val="004A7070"/>
    <w:rsid w:val="004B3B21"/>
    <w:rsid w:val="004B5FDE"/>
    <w:rsid w:val="00501470"/>
    <w:rsid w:val="00507F12"/>
    <w:rsid w:val="00515236"/>
    <w:rsid w:val="005441AC"/>
    <w:rsid w:val="00547A0F"/>
    <w:rsid w:val="00565CA7"/>
    <w:rsid w:val="00583712"/>
    <w:rsid w:val="005D1714"/>
    <w:rsid w:val="005E1D57"/>
    <w:rsid w:val="005E3CD5"/>
    <w:rsid w:val="00602517"/>
    <w:rsid w:val="00610138"/>
    <w:rsid w:val="00614EFC"/>
    <w:rsid w:val="006164EC"/>
    <w:rsid w:val="0064017F"/>
    <w:rsid w:val="00660384"/>
    <w:rsid w:val="006648E3"/>
    <w:rsid w:val="006853FC"/>
    <w:rsid w:val="00691F5E"/>
    <w:rsid w:val="006B113A"/>
    <w:rsid w:val="006B2D3B"/>
    <w:rsid w:val="00700DF5"/>
    <w:rsid w:val="00730AD9"/>
    <w:rsid w:val="00733D9E"/>
    <w:rsid w:val="007343AA"/>
    <w:rsid w:val="00752149"/>
    <w:rsid w:val="00752507"/>
    <w:rsid w:val="007A3D1E"/>
    <w:rsid w:val="007C253F"/>
    <w:rsid w:val="007E0C2A"/>
    <w:rsid w:val="007E7FFE"/>
    <w:rsid w:val="00806ADD"/>
    <w:rsid w:val="008145BD"/>
    <w:rsid w:val="008554F4"/>
    <w:rsid w:val="00861425"/>
    <w:rsid w:val="00863A5D"/>
    <w:rsid w:val="008757B7"/>
    <w:rsid w:val="00876AC2"/>
    <w:rsid w:val="00877436"/>
    <w:rsid w:val="00881204"/>
    <w:rsid w:val="008836F4"/>
    <w:rsid w:val="008B44F1"/>
    <w:rsid w:val="00912FBC"/>
    <w:rsid w:val="0091566B"/>
    <w:rsid w:val="0092488C"/>
    <w:rsid w:val="00931F1A"/>
    <w:rsid w:val="009522F9"/>
    <w:rsid w:val="00995A36"/>
    <w:rsid w:val="00996FF1"/>
    <w:rsid w:val="009B1EC0"/>
    <w:rsid w:val="009B1F3C"/>
    <w:rsid w:val="009C65E0"/>
    <w:rsid w:val="009E03DB"/>
    <w:rsid w:val="00A00326"/>
    <w:rsid w:val="00A014FC"/>
    <w:rsid w:val="00A11699"/>
    <w:rsid w:val="00A30237"/>
    <w:rsid w:val="00A34DB8"/>
    <w:rsid w:val="00A46072"/>
    <w:rsid w:val="00A50383"/>
    <w:rsid w:val="00A51B03"/>
    <w:rsid w:val="00A60542"/>
    <w:rsid w:val="00AB7F68"/>
    <w:rsid w:val="00AC5E9E"/>
    <w:rsid w:val="00AC677F"/>
    <w:rsid w:val="00AF2D87"/>
    <w:rsid w:val="00AF5E25"/>
    <w:rsid w:val="00B35DB5"/>
    <w:rsid w:val="00B50EC8"/>
    <w:rsid w:val="00B7197E"/>
    <w:rsid w:val="00B86C4E"/>
    <w:rsid w:val="00B907E6"/>
    <w:rsid w:val="00B92917"/>
    <w:rsid w:val="00B96875"/>
    <w:rsid w:val="00B97D3E"/>
    <w:rsid w:val="00BA066F"/>
    <w:rsid w:val="00BE56A3"/>
    <w:rsid w:val="00C03741"/>
    <w:rsid w:val="00C200B4"/>
    <w:rsid w:val="00C53B7D"/>
    <w:rsid w:val="00C551B3"/>
    <w:rsid w:val="00C817CF"/>
    <w:rsid w:val="00C840FB"/>
    <w:rsid w:val="00C85CCC"/>
    <w:rsid w:val="00C94B07"/>
    <w:rsid w:val="00C97EDF"/>
    <w:rsid w:val="00CC5271"/>
    <w:rsid w:val="00D074B3"/>
    <w:rsid w:val="00D42176"/>
    <w:rsid w:val="00D42D5F"/>
    <w:rsid w:val="00D42EAB"/>
    <w:rsid w:val="00D4413E"/>
    <w:rsid w:val="00D51353"/>
    <w:rsid w:val="00D517C5"/>
    <w:rsid w:val="00D85479"/>
    <w:rsid w:val="00D86297"/>
    <w:rsid w:val="00D954C6"/>
    <w:rsid w:val="00D957C3"/>
    <w:rsid w:val="00DB1C37"/>
    <w:rsid w:val="00E2218D"/>
    <w:rsid w:val="00E64B70"/>
    <w:rsid w:val="00E7545B"/>
    <w:rsid w:val="00E755F2"/>
    <w:rsid w:val="00E9581E"/>
    <w:rsid w:val="00EC5DCC"/>
    <w:rsid w:val="00EE0805"/>
    <w:rsid w:val="00EF4D45"/>
    <w:rsid w:val="00F13CC6"/>
    <w:rsid w:val="00F21B5A"/>
    <w:rsid w:val="00F22174"/>
    <w:rsid w:val="00F8577A"/>
    <w:rsid w:val="00FC10F3"/>
    <w:rsid w:val="00FC17A6"/>
    <w:rsid w:val="00FC1F30"/>
    <w:rsid w:val="00FD2614"/>
    <w:rsid w:val="00FF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B01991"/>
  <w15:docId w15:val="{DEB67BD6-C4A4-430B-B9A7-A796CB29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CD5"/>
  </w:style>
  <w:style w:type="paragraph" w:styleId="Heading1">
    <w:name w:val="heading 1"/>
    <w:basedOn w:val="Normal"/>
    <w:next w:val="Normal"/>
    <w:link w:val="Heading1Char"/>
    <w:uiPriority w:val="9"/>
    <w:qFormat/>
    <w:rsid w:val="005E3CD5"/>
    <w:pPr>
      <w:keepNext/>
      <w:keepLines/>
      <w:pBdr>
        <w:left w:val="single" w:sz="12" w:space="12" w:color="2683C6"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5E3CD5"/>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unhideWhenUsed/>
    <w:qFormat/>
    <w:rsid w:val="005E3CD5"/>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5E3CD5"/>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5E3CD5"/>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5E3CD5"/>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5E3CD5"/>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5E3CD5"/>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5E3CD5"/>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CD5"/>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5E3CD5"/>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rsid w:val="005E3CD5"/>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5E3CD5"/>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5E3CD5"/>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5E3CD5"/>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5E3CD5"/>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5E3CD5"/>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5E3CD5"/>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5E3CD5"/>
    <w:pPr>
      <w:spacing w:line="240" w:lineRule="auto"/>
    </w:pPr>
    <w:rPr>
      <w:b/>
      <w:bCs/>
      <w:color w:val="2683C6" w:themeColor="accent2"/>
      <w:spacing w:val="10"/>
      <w:sz w:val="16"/>
      <w:szCs w:val="16"/>
    </w:rPr>
  </w:style>
  <w:style w:type="paragraph" w:styleId="Title">
    <w:name w:val="Title"/>
    <w:basedOn w:val="Normal"/>
    <w:next w:val="Normal"/>
    <w:link w:val="TitleChar"/>
    <w:uiPriority w:val="10"/>
    <w:qFormat/>
    <w:rsid w:val="005E3CD5"/>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5E3CD5"/>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5E3CD5"/>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5E3CD5"/>
    <w:rPr>
      <w:color w:val="000000" w:themeColor="text1"/>
      <w:sz w:val="24"/>
      <w:szCs w:val="24"/>
    </w:rPr>
  </w:style>
  <w:style w:type="paragraph" w:styleId="TOCHeading">
    <w:name w:val="TOC Heading"/>
    <w:basedOn w:val="Heading1"/>
    <w:next w:val="Normal"/>
    <w:uiPriority w:val="39"/>
    <w:semiHidden/>
    <w:unhideWhenUsed/>
    <w:qFormat/>
    <w:rsid w:val="005E3CD5"/>
    <w:pPr>
      <w:outlineLvl w:val="9"/>
    </w:pPr>
  </w:style>
  <w:style w:type="table" w:styleId="TableGrid">
    <w:name w:val="Table Grid"/>
    <w:basedOn w:val="TableNormal"/>
    <w:uiPriority w:val="59"/>
    <w:rsid w:val="007E0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7E0C2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customStyle="1" w:styleId="ListTable7Colorful-Accent11">
    <w:name w:val="List Table 7 Colorful - Accent 11"/>
    <w:basedOn w:val="TableNormal"/>
    <w:uiPriority w:val="52"/>
    <w:rsid w:val="007E0C2A"/>
    <w:pPr>
      <w:spacing w:after="0" w:line="240" w:lineRule="auto"/>
    </w:pPr>
    <w:rPr>
      <w:color w:val="1481AB"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7E0C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customStyle="1" w:styleId="GridTable4-Accent61">
    <w:name w:val="Grid Table 4 - Accent 61"/>
    <w:basedOn w:val="TableNormal"/>
    <w:uiPriority w:val="49"/>
    <w:rsid w:val="007E0C2A"/>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CellMar>
        <w:top w:w="29" w:type="dxa"/>
        <w:bottom w:w="29" w:type="dxa"/>
      </w:tblCellMar>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TableGridLight1">
    <w:name w:val="Table Grid Light1"/>
    <w:basedOn w:val="TableNormal"/>
    <w:uiPriority w:val="40"/>
    <w:rsid w:val="007E0C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7E0C2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rsid w:val="007E0C2A"/>
    <w:pPr>
      <w:spacing w:after="0" w:line="240" w:lineRule="auto"/>
    </w:pPr>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ListTable1Light-Accent21">
    <w:name w:val="List Table 1 Light - Accent 21"/>
    <w:basedOn w:val="TableNormal"/>
    <w:uiPriority w:val="46"/>
    <w:rsid w:val="007E0C2A"/>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character" w:styleId="PlaceholderText">
    <w:name w:val="Placeholder Text"/>
    <w:basedOn w:val="DefaultParagraphFont"/>
    <w:uiPriority w:val="99"/>
    <w:semiHidden/>
    <w:rsid w:val="007E0C2A"/>
    <w:rPr>
      <w:color w:val="808080"/>
    </w:rPr>
  </w:style>
  <w:style w:type="table" w:customStyle="1" w:styleId="GridTable4-Accent11">
    <w:name w:val="Grid Table 4 - Accent 11"/>
    <w:basedOn w:val="TableNormal"/>
    <w:uiPriority w:val="49"/>
    <w:rsid w:val="007E0C2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CellMar>
        <w:top w:w="29" w:type="dxa"/>
        <w:bottom w:w="29" w:type="dxa"/>
      </w:tblCellMar>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GridTable4-Accent21">
    <w:name w:val="Grid Table 4 - Accent 21"/>
    <w:basedOn w:val="TableNormal"/>
    <w:uiPriority w:val="49"/>
    <w:rsid w:val="007E0C2A"/>
    <w:pPr>
      <w:spacing w:after="0" w:line="240" w:lineRule="auto"/>
    </w:p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CellMar>
        <w:top w:w="29" w:type="dxa"/>
        <w:bottom w:w="29" w:type="dxa"/>
      </w:tblCellMar>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customStyle="1" w:styleId="PlainTable41">
    <w:name w:val="Plain Table 41"/>
    <w:basedOn w:val="TableNormal"/>
    <w:uiPriority w:val="44"/>
    <w:rsid w:val="007E0C2A"/>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rsid w:val="007E0C2A"/>
    <w:pPr>
      <w:spacing w:after="0" w:line="240" w:lineRule="auto"/>
    </w:pPr>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CellMar>
        <w:top w:w="29" w:type="dxa"/>
        <w:bottom w:w="29" w:type="dxa"/>
      </w:tblCellMar>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rsid w:val="007E0C2A"/>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paragraph" w:styleId="Header">
    <w:name w:val="header"/>
    <w:basedOn w:val="Normal"/>
    <w:link w:val="HeaderChar"/>
    <w:uiPriority w:val="99"/>
    <w:unhideWhenUsed/>
    <w:rsid w:val="007E0C2A"/>
    <w:pPr>
      <w:spacing w:after="0"/>
      <w:jc w:val="right"/>
    </w:pPr>
  </w:style>
  <w:style w:type="character" w:customStyle="1" w:styleId="HeaderChar">
    <w:name w:val="Header Char"/>
    <w:basedOn w:val="DefaultParagraphFont"/>
    <w:link w:val="Header"/>
    <w:uiPriority w:val="99"/>
    <w:rsid w:val="007E0C2A"/>
  </w:style>
  <w:style w:type="paragraph" w:styleId="Footer">
    <w:name w:val="footer"/>
    <w:basedOn w:val="Normal"/>
    <w:link w:val="FooterChar"/>
    <w:uiPriority w:val="99"/>
    <w:unhideWhenUsed/>
    <w:rsid w:val="007E0C2A"/>
    <w:pPr>
      <w:spacing w:after="0"/>
    </w:pPr>
  </w:style>
  <w:style w:type="character" w:customStyle="1" w:styleId="FooterChar">
    <w:name w:val="Footer Char"/>
    <w:basedOn w:val="DefaultParagraphFont"/>
    <w:link w:val="Footer"/>
    <w:uiPriority w:val="99"/>
    <w:rsid w:val="007E0C2A"/>
  </w:style>
  <w:style w:type="table" w:customStyle="1" w:styleId="Noborders">
    <w:name w:val="No borders"/>
    <w:basedOn w:val="TableNormal"/>
    <w:uiPriority w:val="99"/>
    <w:rsid w:val="007E0C2A"/>
    <w:pPr>
      <w:spacing w:after="0" w:line="240" w:lineRule="auto"/>
    </w:pPr>
    <w:tblPr/>
  </w:style>
  <w:style w:type="table" w:customStyle="1" w:styleId="GridTable1Light-Accent11">
    <w:name w:val="Grid Table 1 Light - Accent 11"/>
    <w:aliases w:val="Sample questionnaires table"/>
    <w:basedOn w:val="TableNormal"/>
    <w:uiPriority w:val="46"/>
    <w:rsid w:val="007E0C2A"/>
    <w:pPr>
      <w:spacing w:after="0" w:line="240" w:lineRule="auto"/>
    </w:pPr>
    <w:tblPr>
      <w:tblStyleRowBandSize w:val="1"/>
      <w:tblStyleColBandSize w:val="1"/>
      <w:tblBorders>
        <w:insideH w:val="single" w:sz="4" w:space="0" w:color="1CADE4" w:themeColor="accent1"/>
      </w:tblBorders>
      <w:tblCellMar>
        <w:top w:w="29" w:type="dxa"/>
        <w:bottom w:w="29" w:type="dxa"/>
      </w:tblCellMar>
    </w:tblPr>
    <w:tblStylePr w:type="firstRow">
      <w:rPr>
        <w:b w:val="0"/>
        <w:bCs/>
      </w:rPr>
      <w:tblPr/>
      <w:tcPr>
        <w:tcBorders>
          <w:top w:val="nil"/>
          <w:left w:val="nil"/>
          <w:bottom w:val="single" w:sz="12" w:space="0" w:color="1CADE4" w:themeColor="accent1"/>
          <w:right w:val="nil"/>
          <w:insideH w:val="nil"/>
          <w:insideV w:val="nil"/>
          <w:tl2br w:val="nil"/>
          <w:tr2bl w:val="nil"/>
        </w:tcBorders>
      </w:tcPr>
    </w:tblStylePr>
    <w:tblStylePr w:type="lastRow">
      <w:rPr>
        <w:b/>
        <w:bCs/>
      </w:rPr>
      <w:tblPr/>
      <w:tcPr>
        <w:tcBorders>
          <w:top w:val="double" w:sz="2" w:space="0" w:color="76CDEE"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rsid w:val="007E0C2A"/>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CellMar>
        <w:top w:w="29" w:type="dxa"/>
        <w:bottom w:w="29" w:type="dxa"/>
      </w:tblCellMar>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customStyle="1" w:styleId="Logo">
    <w:name w:val="Logo"/>
    <w:basedOn w:val="Normal"/>
    <w:uiPriority w:val="1"/>
    <w:rsid w:val="007E0C2A"/>
    <w:pPr>
      <w:spacing w:after="1440"/>
      <w:jc w:val="right"/>
    </w:pPr>
    <w:rPr>
      <w:noProof/>
      <w:color w:val="264356" w:themeColor="text2" w:themeShade="BF"/>
      <w:sz w:val="52"/>
      <w:szCs w:val="52"/>
    </w:rPr>
  </w:style>
  <w:style w:type="paragraph" w:styleId="z-TopofForm">
    <w:name w:val="HTML Top of Form"/>
    <w:basedOn w:val="Normal"/>
    <w:next w:val="Normal"/>
    <w:link w:val="z-TopofFormChar"/>
    <w:hidden/>
    <w:uiPriority w:val="99"/>
    <w:semiHidden/>
    <w:unhideWhenUsed/>
    <w:rsid w:val="007E0C2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E0C2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E0C2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E0C2A"/>
    <w:rPr>
      <w:rFonts w:ascii="Arial" w:hAnsi="Arial" w:cs="Arial"/>
      <w:vanish/>
      <w:sz w:val="16"/>
      <w:szCs w:val="16"/>
    </w:rPr>
  </w:style>
  <w:style w:type="paragraph" w:customStyle="1" w:styleId="Contactinfo">
    <w:name w:val="Contact info"/>
    <w:basedOn w:val="Normal"/>
    <w:uiPriority w:val="1"/>
    <w:rsid w:val="007E0C2A"/>
    <w:pPr>
      <w:spacing w:after="0"/>
      <w:jc w:val="right"/>
    </w:pPr>
    <w:rPr>
      <w:caps/>
    </w:rPr>
  </w:style>
  <w:style w:type="table" w:customStyle="1" w:styleId="GridTable3-Accent31">
    <w:name w:val="Grid Table 3 - Accent 31"/>
    <w:basedOn w:val="TableNormal"/>
    <w:uiPriority w:val="48"/>
    <w:rsid w:val="007E0C2A"/>
    <w:pPr>
      <w:spacing w:after="0" w:line="240" w:lineRule="auto"/>
    </w:p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customStyle="1" w:styleId="GridTable5Dark-Accent31">
    <w:name w:val="Grid Table 5 Dark - Accent 31"/>
    <w:basedOn w:val="TableNormal"/>
    <w:uiPriority w:val="50"/>
    <w:rsid w:val="007E0C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GridTable1Light-Accent31">
    <w:name w:val="Grid Table 1 Light - Accent 31"/>
    <w:basedOn w:val="TableNormal"/>
    <w:uiPriority w:val="46"/>
    <w:rsid w:val="007E0C2A"/>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5E3CD5"/>
    <w:rPr>
      <w:rFonts w:asciiTheme="minorHAnsi" w:eastAsiaTheme="minorEastAsia" w:hAnsiTheme="minorHAnsi" w:cstheme="minorBidi"/>
      <w:b/>
      <w:bCs/>
      <w:spacing w:val="0"/>
      <w:w w:val="100"/>
      <w:position w:val="0"/>
      <w:sz w:val="20"/>
      <w:szCs w:val="20"/>
    </w:rPr>
  </w:style>
  <w:style w:type="paragraph" w:customStyle="1" w:styleId="Tabletext">
    <w:name w:val="Table text"/>
    <w:basedOn w:val="Normal"/>
    <w:uiPriority w:val="1"/>
    <w:rsid w:val="007E0C2A"/>
    <w:pPr>
      <w:spacing w:before="120" w:after="0"/>
    </w:pPr>
  </w:style>
  <w:style w:type="table" w:customStyle="1" w:styleId="ListTable6Colorful-Accent21">
    <w:name w:val="List Table 6 Colorful - Accent 21"/>
    <w:basedOn w:val="TableNormal"/>
    <w:uiPriority w:val="51"/>
    <w:rsid w:val="007E0C2A"/>
    <w:pPr>
      <w:spacing w:after="0" w:line="240" w:lineRule="auto"/>
    </w:pPr>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customStyle="1" w:styleId="GridTable1Light-Accent21">
    <w:name w:val="Grid Table 1 Light - Accent 21"/>
    <w:basedOn w:val="TableNormal"/>
    <w:uiPriority w:val="46"/>
    <w:rsid w:val="007E0C2A"/>
    <w:pPr>
      <w:spacing w:after="0" w:line="240" w:lineRule="auto"/>
    </w:pPr>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rsid w:val="007E0C2A"/>
    <w:pPr>
      <w:numPr>
        <w:numId w:val="1"/>
      </w:numPr>
    </w:pPr>
  </w:style>
  <w:style w:type="paragraph" w:customStyle="1" w:styleId="Default">
    <w:name w:val="Default"/>
    <w:rsid w:val="003A19A2"/>
    <w:pPr>
      <w:autoSpaceDE w:val="0"/>
      <w:autoSpaceDN w:val="0"/>
      <w:adjustRightInd w:val="0"/>
      <w:spacing w:after="0" w:line="240" w:lineRule="auto"/>
    </w:pPr>
    <w:rPr>
      <w:rFonts w:ascii="Calibri" w:hAnsi="Calibri" w:cs="Calibri"/>
      <w:color w:val="000000"/>
      <w:sz w:val="24"/>
      <w:szCs w:val="24"/>
      <w:lang w:eastAsia="en-US"/>
    </w:rPr>
  </w:style>
  <w:style w:type="paragraph" w:styleId="ListParagraph">
    <w:name w:val="List Paragraph"/>
    <w:aliases w:val="List Paragraph (numbered (a)),Lapis Bulleted List,List Paragraph1"/>
    <w:basedOn w:val="Normal"/>
    <w:link w:val="ListParagraphChar"/>
    <w:uiPriority w:val="34"/>
    <w:qFormat/>
    <w:rsid w:val="00C551B3"/>
    <w:pPr>
      <w:ind w:left="720"/>
      <w:contextualSpacing/>
    </w:pPr>
  </w:style>
  <w:style w:type="character" w:customStyle="1" w:styleId="ListParagraphChar">
    <w:name w:val="List Paragraph Char"/>
    <w:aliases w:val="List Paragraph (numbered (a)) Char,Lapis Bulleted List Char,List Paragraph1 Char"/>
    <w:link w:val="ListParagraph"/>
    <w:uiPriority w:val="34"/>
    <w:locked/>
    <w:rsid w:val="00C551B3"/>
  </w:style>
  <w:style w:type="paragraph" w:styleId="BalloonText">
    <w:name w:val="Balloon Text"/>
    <w:basedOn w:val="Normal"/>
    <w:link w:val="BalloonTextChar"/>
    <w:uiPriority w:val="99"/>
    <w:semiHidden/>
    <w:unhideWhenUsed/>
    <w:rsid w:val="005152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236"/>
    <w:rPr>
      <w:rFonts w:ascii="Tahoma" w:hAnsi="Tahoma" w:cs="Tahoma"/>
      <w:sz w:val="16"/>
      <w:szCs w:val="16"/>
    </w:rPr>
  </w:style>
  <w:style w:type="character" w:styleId="Hyperlink">
    <w:name w:val="Hyperlink"/>
    <w:basedOn w:val="DefaultParagraphFont"/>
    <w:uiPriority w:val="99"/>
    <w:unhideWhenUsed/>
    <w:rsid w:val="000E1AD9"/>
    <w:rPr>
      <w:color w:val="6B9F25" w:themeColor="hyperlink"/>
      <w:u w:val="single"/>
    </w:rPr>
  </w:style>
  <w:style w:type="paragraph" w:styleId="NormalWeb">
    <w:name w:val="Normal (Web)"/>
    <w:basedOn w:val="Normal"/>
    <w:uiPriority w:val="99"/>
    <w:semiHidden/>
    <w:unhideWhenUsed/>
    <w:rsid w:val="000E1AD9"/>
    <w:pPr>
      <w:spacing w:before="100" w:beforeAutospacing="1" w:after="100" w:afterAutospacing="1"/>
    </w:pPr>
    <w:rPr>
      <w:rFonts w:ascii="Calibri" w:hAnsi="Calibri" w:cs="Calibri"/>
      <w:color w:val="000000"/>
      <w:lang w:eastAsia="en-US"/>
    </w:rPr>
  </w:style>
  <w:style w:type="paragraph" w:styleId="CommentText">
    <w:name w:val="annotation text"/>
    <w:basedOn w:val="Normal"/>
    <w:link w:val="CommentTextChar"/>
    <w:uiPriority w:val="99"/>
    <w:unhideWhenUsed/>
    <w:rsid w:val="003A5B06"/>
    <w:pPr>
      <w:spacing w:after="200"/>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3A5B06"/>
    <w:rPr>
      <w:rFonts w:eastAsiaTheme="minorHAnsi"/>
      <w:kern w:val="0"/>
      <w:sz w:val="20"/>
      <w:szCs w:val="20"/>
      <w:lang w:val="en-GB" w:eastAsia="en-US"/>
    </w:rPr>
  </w:style>
  <w:style w:type="character" w:customStyle="1" w:styleId="CommentSubjectChar">
    <w:name w:val="Comment Subject Char"/>
    <w:basedOn w:val="CommentTextChar"/>
    <w:link w:val="CommentSubject"/>
    <w:uiPriority w:val="99"/>
    <w:semiHidden/>
    <w:rsid w:val="003A5B06"/>
    <w:rPr>
      <w:rFonts w:eastAsiaTheme="minorHAnsi"/>
      <w:b/>
      <w:bCs/>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3A5B06"/>
    <w:rPr>
      <w:b/>
      <w:bCs/>
    </w:rPr>
  </w:style>
  <w:style w:type="paragraph" w:styleId="NoSpacing">
    <w:name w:val="No Spacing"/>
    <w:uiPriority w:val="1"/>
    <w:qFormat/>
    <w:rsid w:val="005E3CD5"/>
    <w:pPr>
      <w:spacing w:after="0" w:line="240" w:lineRule="auto"/>
    </w:pPr>
  </w:style>
  <w:style w:type="character" w:customStyle="1" w:styleId="HTMLPreformattedChar">
    <w:name w:val="HTML Preformatted Char"/>
    <w:aliases w:val="Char Char"/>
    <w:basedOn w:val="DefaultParagraphFont"/>
    <w:link w:val="HTMLPreformatted"/>
    <w:semiHidden/>
    <w:rsid w:val="003A5B06"/>
    <w:rPr>
      <w:rFonts w:ascii="Courier New" w:eastAsia="Courier New" w:hAnsi="Courier New" w:cs="Courier New"/>
      <w:kern w:val="0"/>
      <w:sz w:val="20"/>
      <w:szCs w:val="20"/>
      <w:lang w:val="en-CA" w:eastAsia="en-US"/>
    </w:rPr>
  </w:style>
  <w:style w:type="paragraph" w:styleId="HTMLPreformatted">
    <w:name w:val="HTML Preformatted"/>
    <w:aliases w:val="Char"/>
    <w:basedOn w:val="Normal"/>
    <w:link w:val="HTMLPreformattedChar"/>
    <w:semiHidden/>
    <w:rsid w:val="003A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ourier New" w:hAnsi="Courier New" w:cs="Courier New"/>
      <w:sz w:val="20"/>
      <w:szCs w:val="20"/>
      <w:lang w:val="en-CA" w:eastAsia="en-US"/>
    </w:rPr>
  </w:style>
  <w:style w:type="paragraph" w:styleId="TOC1">
    <w:name w:val="toc 1"/>
    <w:basedOn w:val="Normal"/>
    <w:next w:val="Normal"/>
    <w:autoRedefine/>
    <w:uiPriority w:val="39"/>
    <w:unhideWhenUsed/>
    <w:rsid w:val="003A5B06"/>
    <w:pPr>
      <w:spacing w:before="120" w:after="0"/>
    </w:pPr>
    <w:rPr>
      <w:rFonts w:asciiTheme="majorHAnsi" w:hAnsiTheme="majorHAnsi"/>
      <w:b/>
      <w:color w:val="548DD4"/>
      <w:sz w:val="24"/>
      <w:szCs w:val="24"/>
    </w:rPr>
  </w:style>
  <w:style w:type="table" w:customStyle="1" w:styleId="GridTable1Light-Accent310">
    <w:name w:val="Grid Table 1 Light - Accent 31"/>
    <w:basedOn w:val="TableNormal"/>
    <w:uiPriority w:val="46"/>
    <w:rsid w:val="003A5B06"/>
    <w:pPr>
      <w:spacing w:after="0" w:line="240" w:lineRule="auto"/>
    </w:pPr>
    <w:rPr>
      <w:rFonts w:eastAsiaTheme="minorHAnsi"/>
      <w:lang w:eastAsia="en-US"/>
    </w:r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301BC5"/>
    <w:rPr>
      <w:sz w:val="16"/>
      <w:szCs w:val="16"/>
    </w:rPr>
  </w:style>
  <w:style w:type="paragraph" w:styleId="Revision">
    <w:name w:val="Revision"/>
    <w:hidden/>
    <w:uiPriority w:val="99"/>
    <w:semiHidden/>
    <w:rsid w:val="00996FF1"/>
    <w:pPr>
      <w:spacing w:after="0" w:line="240" w:lineRule="auto"/>
    </w:pPr>
  </w:style>
  <w:style w:type="character" w:styleId="Emphasis">
    <w:name w:val="Emphasis"/>
    <w:basedOn w:val="DefaultParagraphFont"/>
    <w:uiPriority w:val="20"/>
    <w:qFormat/>
    <w:rsid w:val="005E3CD5"/>
    <w:rPr>
      <w:rFonts w:asciiTheme="minorHAnsi" w:eastAsiaTheme="minorEastAsia" w:hAnsiTheme="minorHAnsi" w:cstheme="minorBidi"/>
      <w:i/>
      <w:iCs/>
      <w:color w:val="1C6194" w:themeColor="accent2" w:themeShade="BF"/>
      <w:sz w:val="20"/>
      <w:szCs w:val="20"/>
    </w:rPr>
  </w:style>
  <w:style w:type="paragraph" w:styleId="Quote">
    <w:name w:val="Quote"/>
    <w:basedOn w:val="Normal"/>
    <w:next w:val="Normal"/>
    <w:link w:val="QuoteChar"/>
    <w:uiPriority w:val="29"/>
    <w:qFormat/>
    <w:rsid w:val="005E3CD5"/>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5E3CD5"/>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5E3CD5"/>
    <w:pPr>
      <w:spacing w:before="100" w:beforeAutospacing="1" w:after="240"/>
      <w:ind w:left="936" w:right="936"/>
      <w:jc w:val="center"/>
    </w:pPr>
    <w:rPr>
      <w:rFonts w:asciiTheme="majorHAnsi" w:eastAsiaTheme="majorEastAsia" w:hAnsiTheme="majorHAnsi" w:cstheme="majorBidi"/>
      <w:caps/>
      <w:color w:val="1C6194" w:themeColor="accent2" w:themeShade="BF"/>
      <w:spacing w:val="10"/>
      <w:sz w:val="28"/>
      <w:szCs w:val="28"/>
    </w:rPr>
  </w:style>
  <w:style w:type="character" w:customStyle="1" w:styleId="IntenseQuoteChar">
    <w:name w:val="Intense Quote Char"/>
    <w:basedOn w:val="DefaultParagraphFont"/>
    <w:link w:val="IntenseQuote"/>
    <w:uiPriority w:val="30"/>
    <w:rsid w:val="005E3CD5"/>
    <w:rPr>
      <w:rFonts w:asciiTheme="majorHAnsi" w:eastAsiaTheme="majorEastAsia" w:hAnsiTheme="majorHAnsi" w:cstheme="majorBidi"/>
      <w:caps/>
      <w:color w:val="1C6194" w:themeColor="accent2" w:themeShade="BF"/>
      <w:spacing w:val="10"/>
      <w:sz w:val="28"/>
      <w:szCs w:val="28"/>
    </w:rPr>
  </w:style>
  <w:style w:type="character" w:styleId="SubtleEmphasis">
    <w:name w:val="Subtle Emphasis"/>
    <w:basedOn w:val="DefaultParagraphFont"/>
    <w:uiPriority w:val="19"/>
    <w:qFormat/>
    <w:rsid w:val="005E3CD5"/>
    <w:rPr>
      <w:i/>
      <w:iCs/>
      <w:color w:val="auto"/>
    </w:rPr>
  </w:style>
  <w:style w:type="character" w:styleId="IntenseEmphasis">
    <w:name w:val="Intense Emphasis"/>
    <w:basedOn w:val="DefaultParagraphFont"/>
    <w:uiPriority w:val="21"/>
    <w:qFormat/>
    <w:rsid w:val="005E3CD5"/>
    <w:rPr>
      <w:rFonts w:asciiTheme="minorHAnsi" w:eastAsiaTheme="minorEastAsia" w:hAnsiTheme="minorHAnsi" w:cstheme="minorBidi"/>
      <w:b/>
      <w:bCs/>
      <w:i/>
      <w:iCs/>
      <w:color w:val="1C6194" w:themeColor="accent2" w:themeShade="BF"/>
      <w:spacing w:val="0"/>
      <w:w w:val="100"/>
      <w:position w:val="0"/>
      <w:sz w:val="20"/>
      <w:szCs w:val="20"/>
    </w:rPr>
  </w:style>
  <w:style w:type="character" w:styleId="SubtleReference">
    <w:name w:val="Subtle Reference"/>
    <w:basedOn w:val="DefaultParagraphFont"/>
    <w:uiPriority w:val="31"/>
    <w:qFormat/>
    <w:rsid w:val="005E3CD5"/>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5E3CD5"/>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5E3CD5"/>
    <w:rPr>
      <w:rFonts w:asciiTheme="minorHAnsi" w:eastAsiaTheme="minorEastAsia" w:hAnsiTheme="minorHAnsi" w:cstheme="minorBidi"/>
      <w:b/>
      <w:bCs/>
      <w:i/>
      <w:iCs/>
      <w:caps w:val="0"/>
      <w:smallCaps w:val="0"/>
      <w:color w:val="auto"/>
      <w:spacing w:val="10"/>
      <w:w w:val="1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20451">
      <w:bodyDiv w:val="1"/>
      <w:marLeft w:val="0"/>
      <w:marRight w:val="0"/>
      <w:marTop w:val="0"/>
      <w:marBottom w:val="0"/>
      <w:divBdr>
        <w:top w:val="none" w:sz="0" w:space="0" w:color="auto"/>
        <w:left w:val="none" w:sz="0" w:space="0" w:color="auto"/>
        <w:bottom w:val="none" w:sz="0" w:space="0" w:color="auto"/>
        <w:right w:val="none" w:sz="0" w:space="0" w:color="auto"/>
      </w:divBdr>
    </w:div>
    <w:div w:id="384567082">
      <w:bodyDiv w:val="1"/>
      <w:marLeft w:val="0"/>
      <w:marRight w:val="0"/>
      <w:marTop w:val="0"/>
      <w:marBottom w:val="0"/>
      <w:divBdr>
        <w:top w:val="none" w:sz="0" w:space="0" w:color="auto"/>
        <w:left w:val="none" w:sz="0" w:space="0" w:color="auto"/>
        <w:bottom w:val="none" w:sz="0" w:space="0" w:color="auto"/>
        <w:right w:val="none" w:sz="0" w:space="0" w:color="auto"/>
      </w:divBdr>
    </w:div>
    <w:div w:id="813718043">
      <w:bodyDiv w:val="1"/>
      <w:marLeft w:val="0"/>
      <w:marRight w:val="0"/>
      <w:marTop w:val="0"/>
      <w:marBottom w:val="0"/>
      <w:divBdr>
        <w:top w:val="none" w:sz="0" w:space="0" w:color="auto"/>
        <w:left w:val="none" w:sz="0" w:space="0" w:color="auto"/>
        <w:bottom w:val="none" w:sz="0" w:space="0" w:color="auto"/>
        <w:right w:val="none" w:sz="0" w:space="0" w:color="auto"/>
      </w:divBdr>
    </w:div>
    <w:div w:id="187900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y.taylor\AppData\Roaming\Microsoft\Templates\Project%20communication%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2019-05-30T00:00:00</PublishDate>
  <Abstract/>
  <CompanyAddress>Biodiversity Research Institute Portland, Maine, USA</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F29840-ED91-4B8B-89A3-204E03A550ED}">
  <ds:schemaRefs>
    <ds:schemaRef ds:uri="http://schemas.microsoft.com/sharepoint/v3/contenttype/forms"/>
  </ds:schemaRefs>
</ds:datastoreItem>
</file>

<file path=customXml/itemProps3.xml><?xml version="1.0" encoding="utf-8"?>
<ds:datastoreItem xmlns:ds="http://schemas.openxmlformats.org/officeDocument/2006/customXml" ds:itemID="{5D5036C0-4355-4B60-A4F7-4C99B32A7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communication plan</Template>
  <TotalTime>3</TotalTime>
  <Pages>9</Pages>
  <Words>2490</Words>
  <Characters>14195</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Minamata Initial Assessment – MERCURY Inventory Development in the South Pacific</vt:lpstr>
    </vt:vector>
  </TitlesOfParts>
  <Company>bri</Company>
  <LinksUpToDate>false</LinksUpToDate>
  <CharactersWithSpaces>16652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Minamata Initial Assessment – MERCURY Inventory Development in the South Pacific</dc:title>
  <dc:subject>minamata initial assessment:  JORDAN</dc:subject>
  <dc:creator>SPREP Registry</dc:creator>
  <cp:lastModifiedBy>SPREP Registry</cp:lastModifiedBy>
  <cp:revision>2</cp:revision>
  <dcterms:created xsi:type="dcterms:W3CDTF">2019-07-30T20:49:00Z</dcterms:created>
  <dcterms:modified xsi:type="dcterms:W3CDTF">2019-07-30T20:49:00Z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TC039920449991</vt:lpwstr>
  </property>
</Properties>
</file>