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9268B" w14:textId="4F51EAA9" w:rsidR="00F619BA" w:rsidRPr="00F619BA" w:rsidRDefault="00F619BA" w:rsidP="00F619BA">
      <w:pPr>
        <w:rPr>
          <w:b/>
          <w:bCs/>
        </w:rPr>
      </w:pPr>
      <w:r w:rsidRPr="00F619BA">
        <w:rPr>
          <w:b/>
          <w:lang w:bidi="fr-FR"/>
        </w:rPr>
        <w:t>Ordre du jour et programme combinés</w:t>
      </w:r>
      <w:r w:rsidRPr="00F619BA">
        <w:rPr>
          <w:b/>
          <w:lang w:bidi="fr-FR"/>
        </w:rPr>
        <w:br/>
        <w:t>Mardi</w:t>
      </w:r>
      <w:r w:rsidR="00A63A32">
        <w:rPr>
          <w:b/>
          <w:lang w:bidi="fr-FR"/>
        </w:rPr>
        <w:t> </w:t>
      </w:r>
      <w:r w:rsidRPr="00F619BA">
        <w:rPr>
          <w:b/>
          <w:lang w:bidi="fr-FR"/>
        </w:rPr>
        <w:t>3</w:t>
      </w:r>
      <w:r w:rsidR="00A63A32">
        <w:rPr>
          <w:b/>
          <w:lang w:bidi="fr-FR"/>
        </w:rPr>
        <w:t> </w:t>
      </w:r>
      <w:r w:rsidRPr="00F619BA">
        <w:rPr>
          <w:b/>
          <w:lang w:bidi="fr-FR"/>
        </w:rPr>
        <w:t>mars 2026</w:t>
      </w:r>
    </w:p>
    <w:p w14:paraId="3A089789" w14:textId="77777777" w:rsidR="00F619BA" w:rsidRPr="00F619BA" w:rsidRDefault="00F619BA" w:rsidP="00F619BA">
      <w:r w:rsidRPr="00F619BA">
        <w:rPr>
          <w:b/>
          <w:lang w:bidi="fr-FR"/>
        </w:rPr>
        <w:t>Organisé par :</w:t>
      </w:r>
      <w:r w:rsidRPr="00F619BA">
        <w:rPr>
          <w:lang w:bidi="fr-FR"/>
        </w:rPr>
        <w:t> Programme de gestion des déchets et de lutte contre la pollution du PROE</w:t>
      </w:r>
    </w:p>
    <w:p w14:paraId="76AA31F7" w14:textId="59B8497A" w:rsidR="00F619BA" w:rsidRPr="00F619BA" w:rsidRDefault="00F619BA" w:rsidP="00F619BA">
      <w:r w:rsidRPr="00F619BA">
        <w:rPr>
          <w:b/>
          <w:lang w:bidi="fr-FR"/>
        </w:rPr>
        <w:t>Lieu : </w:t>
      </w:r>
      <w:r w:rsidRPr="00F619BA">
        <w:rPr>
          <w:lang w:bidi="fr-FR"/>
        </w:rPr>
        <w:t xml:space="preserve">Hôtel Novotel, Nadi, Fidji </w:t>
      </w:r>
    </w:p>
    <w:p w14:paraId="7A4BD0B4" w14:textId="7A221D8D" w:rsidR="00F619BA" w:rsidRPr="00F619BA" w:rsidRDefault="00F619BA" w:rsidP="00F619BA">
      <w:r w:rsidRPr="00F619BA">
        <w:rPr>
          <w:b/>
          <w:lang w:bidi="fr-FR"/>
        </w:rPr>
        <w:t>Date : </w:t>
      </w:r>
      <w:r w:rsidRPr="00F619BA">
        <w:rPr>
          <w:lang w:bidi="fr-FR"/>
        </w:rPr>
        <w:t>Mardi</w:t>
      </w:r>
      <w:r w:rsidR="00A63A32">
        <w:rPr>
          <w:lang w:bidi="fr-FR"/>
        </w:rPr>
        <w:t> </w:t>
      </w:r>
      <w:r w:rsidRPr="00F619BA">
        <w:rPr>
          <w:lang w:bidi="fr-FR"/>
        </w:rPr>
        <w:t>3</w:t>
      </w:r>
      <w:r w:rsidR="00A63A32">
        <w:rPr>
          <w:lang w:bidi="fr-FR"/>
        </w:rPr>
        <w:t> </w:t>
      </w:r>
      <w:r w:rsidRPr="00F619BA">
        <w:rPr>
          <w:lang w:bidi="fr-FR"/>
        </w:rPr>
        <w:t>mars 2026</w:t>
      </w:r>
    </w:p>
    <w:p w14:paraId="499292E2" w14:textId="1B896FC7" w:rsidR="00F619BA" w:rsidRPr="00F619BA" w:rsidRDefault="00F619BA" w:rsidP="00F619BA">
      <w:r w:rsidRPr="00F619BA">
        <w:rPr>
          <w:b/>
          <w:lang w:bidi="fr-FR"/>
        </w:rPr>
        <w:t>Participants :</w:t>
      </w:r>
      <w:r w:rsidRPr="00F619BA">
        <w:rPr>
          <w:lang w:bidi="fr-FR"/>
        </w:rPr>
        <w:t> Délégués</w:t>
      </w:r>
      <w:r w:rsidR="00A63A32">
        <w:rPr>
          <w:lang w:bidi="fr-FR"/>
        </w:rPr>
        <w:t> </w:t>
      </w:r>
      <w:r w:rsidRPr="00F619BA">
        <w:rPr>
          <w:lang w:bidi="fr-FR"/>
        </w:rPr>
        <w:t>PSC4 du GEF ISLANDS Pacific, membres du comité directeur de la CPRT (PICTs), représentants des ministères chargés des affaires féminines</w:t>
      </w:r>
    </w:p>
    <w:p w14:paraId="1719CDEF" w14:textId="77777777" w:rsidR="00F619BA" w:rsidRPr="00F619BA" w:rsidRDefault="00F619BA" w:rsidP="00F619BA">
      <w:pPr>
        <w:rPr>
          <w:b/>
          <w:bCs/>
        </w:rPr>
      </w:pPr>
      <w:r w:rsidRPr="00F619BA">
        <w:rPr>
          <w:b/>
          <w:lang w:bidi="fr-FR"/>
        </w:rPr>
        <w:t>1. Aperçu de l’événement</w:t>
      </w:r>
    </w:p>
    <w:p w14:paraId="53FDF788" w14:textId="4C4536E6" w:rsidR="00F619BA" w:rsidRPr="00F619BA" w:rsidRDefault="00F619BA" w:rsidP="00F619BA">
      <w:r w:rsidRPr="00F619BA">
        <w:rPr>
          <w:lang w:bidi="fr-FR"/>
        </w:rPr>
        <w:t>Ce programme d’une journée combine deux réunions régionales stratégiques visant à maximiser la participation des directeurs nationaux de la gestion des déchets et des points focaux techniques</w:t>
      </w:r>
      <w:r w:rsidR="00A63A32">
        <w:rPr>
          <w:lang w:bidi="fr-FR"/>
        </w:rPr>
        <w:t> </w:t>
      </w:r>
      <w:r w:rsidRPr="00F619BA">
        <w:rPr>
          <w:lang w:bidi="fr-FR"/>
        </w:rPr>
        <w:t>:</w:t>
      </w:r>
    </w:p>
    <w:p w14:paraId="510DEE9A" w14:textId="00E1ABC0" w:rsidR="00F619BA" w:rsidRPr="00F619BA" w:rsidRDefault="00F619BA" w:rsidP="00F619BA">
      <w:pPr>
        <w:numPr>
          <w:ilvl w:val="0"/>
          <w:numId w:val="1"/>
        </w:numPr>
      </w:pPr>
      <w:r w:rsidRPr="00F619BA">
        <w:rPr>
          <w:b/>
          <w:lang w:bidi="fr-FR"/>
        </w:rPr>
        <w:t>Matin / début d’après-midi (</w:t>
      </w:r>
      <w:r w:rsidR="00A63A32">
        <w:rPr>
          <w:b/>
          <w:lang w:bidi="fr-FR"/>
        </w:rPr>
        <w:t>8 h </w:t>
      </w:r>
      <w:r w:rsidRPr="00F619BA">
        <w:rPr>
          <w:b/>
          <w:lang w:bidi="fr-FR"/>
        </w:rPr>
        <w:t>30 – 16</w:t>
      </w:r>
      <w:r w:rsidR="00A63A32">
        <w:rPr>
          <w:b/>
          <w:lang w:bidi="fr-FR"/>
        </w:rPr>
        <w:t> h</w:t>
      </w:r>
      <w:r w:rsidRPr="00F619BA">
        <w:rPr>
          <w:b/>
          <w:lang w:bidi="fr-FR"/>
        </w:rPr>
        <w:t>) : </w:t>
      </w:r>
      <w:r w:rsidRPr="00F619BA">
        <w:rPr>
          <w:i/>
          <w:lang w:bidi="fr-FR"/>
        </w:rPr>
        <w:t>Atelier d’introduction du réseau Pacific Women in Circular Economy (PacWiCE).</w:t>
      </w:r>
      <w:r w:rsidRPr="00F619BA">
        <w:rPr>
          <w:lang w:bidi="fr-FR"/>
        </w:rPr>
        <w:t xml:space="preserve"> À la suite de l’approbation par la 32e</w:t>
      </w:r>
      <w:r w:rsidR="00A63A32">
        <w:rPr>
          <w:lang w:bidi="fr-FR"/>
        </w:rPr>
        <w:t> </w:t>
      </w:r>
      <w:r w:rsidRPr="00F619BA">
        <w:rPr>
          <w:lang w:bidi="fr-FR"/>
        </w:rPr>
        <w:t>réunion des responsables du PROE, le Programme de gestion des déchets et de lutte contre la pollution du PROE organise le premier atelier d’introduction du réseau Pacific Women in Circular Economy (PacWiCE). Cette initiative reconnaît le rôle essentiel des femmes dans l’avènement d’un Pacifique plus propre et répond à la nécessité de renforcer l’autonomisation des femmes dans les secteurs de la gestion des déchets et de la lutte contre la pollution à l’échelle de la région.</w:t>
      </w:r>
    </w:p>
    <w:p w14:paraId="1E876DC1" w14:textId="1FB52605" w:rsidR="00F619BA" w:rsidRPr="00F619BA" w:rsidRDefault="00F619BA" w:rsidP="00F619BA">
      <w:pPr>
        <w:numPr>
          <w:ilvl w:val="0"/>
          <w:numId w:val="2"/>
        </w:numPr>
      </w:pPr>
      <w:r w:rsidRPr="00F619BA">
        <w:rPr>
          <w:b/>
          <w:lang w:bidi="fr-FR"/>
        </w:rPr>
        <w:t>Fin d’après-midi (16</w:t>
      </w:r>
      <w:r w:rsidR="00A63A32">
        <w:rPr>
          <w:b/>
          <w:lang w:bidi="fr-FR"/>
        </w:rPr>
        <w:t> h</w:t>
      </w:r>
      <w:r w:rsidRPr="00F619BA">
        <w:rPr>
          <w:b/>
          <w:lang w:bidi="fr-FR"/>
        </w:rPr>
        <w:t xml:space="preserve"> – 17</w:t>
      </w:r>
      <w:r w:rsidR="00A63A32">
        <w:rPr>
          <w:b/>
          <w:lang w:bidi="fr-FR"/>
        </w:rPr>
        <w:t> h </w:t>
      </w:r>
      <w:r w:rsidRPr="00F619BA">
        <w:rPr>
          <w:b/>
          <w:lang w:bidi="fr-FR"/>
        </w:rPr>
        <w:t>30) : </w:t>
      </w:r>
      <w:r w:rsidRPr="00F619BA">
        <w:rPr>
          <w:i/>
          <w:lang w:bidi="fr-FR"/>
        </w:rPr>
        <w:t>Réunion</w:t>
      </w:r>
      <w:r w:rsidR="00A63A32">
        <w:rPr>
          <w:i/>
          <w:lang w:bidi="fr-FR"/>
        </w:rPr>
        <w:t> </w:t>
      </w:r>
      <w:r w:rsidRPr="00F619BA">
        <w:rPr>
          <w:i/>
          <w:lang w:bidi="fr-FR"/>
        </w:rPr>
        <w:t>1, 2026 du comité directeur de la table ronde Cleaner Pacific.</w:t>
      </w:r>
      <w:r w:rsidRPr="00F619BA">
        <w:rPr>
          <w:lang w:bidi="fr-FR"/>
        </w:rPr>
        <w:t xml:space="preserve"> Cette réunion réunit le comité directeur afin d’examiner les orientations stratégiques de l’initiative Cleaner Pacific et de coordonner les efforts régionaux pour l’année à venir.</w:t>
      </w:r>
    </w:p>
    <w:p w14:paraId="4C8A367E" w14:textId="3E10EF8D" w:rsidR="00F619BA" w:rsidRDefault="00F619BA" w:rsidP="00F619BA">
      <w:pPr>
        <w:rPr>
          <w:b/>
          <w:bCs/>
        </w:rPr>
      </w:pPr>
      <w:r w:rsidRPr="00F619BA">
        <w:rPr>
          <w:b/>
          <w:lang w:bidi="fr-FR"/>
        </w:rPr>
        <w:t>2. Ordre du jour détaillé</w:t>
      </w:r>
      <w:r w:rsidR="00A63A32">
        <w:rPr>
          <w:b/>
          <w:lang w:bidi="fr-FR"/>
        </w:rPr>
        <w:t> </w:t>
      </w:r>
      <w:r w:rsidRPr="00F619BA">
        <w:rPr>
          <w:b/>
          <w:lang w:bidi="fr-FR"/>
        </w:rPr>
        <w:t>: 3</w:t>
      </w:r>
      <w:r w:rsidR="00A63A32">
        <w:rPr>
          <w:b/>
          <w:lang w:bidi="fr-FR"/>
        </w:rPr>
        <w:t> </w:t>
      </w:r>
      <w:r w:rsidRPr="00F619BA">
        <w:rPr>
          <w:b/>
          <w:lang w:bidi="fr-FR"/>
        </w:rPr>
        <w:t>mars 2026</w:t>
      </w:r>
    </w:p>
    <w:tbl>
      <w:tblPr>
        <w:tblW w:w="9773" w:type="dxa"/>
        <w:tblCellMar>
          <w:top w:w="15" w:type="dxa"/>
          <w:left w:w="15" w:type="dxa"/>
          <w:bottom w:w="15" w:type="dxa"/>
          <w:right w:w="15" w:type="dxa"/>
        </w:tblCellMar>
        <w:tblLook w:val="04A0" w:firstRow="1" w:lastRow="0" w:firstColumn="1" w:lastColumn="0" w:noHBand="0" w:noVBand="1"/>
      </w:tblPr>
      <w:tblGrid>
        <w:gridCol w:w="2050"/>
        <w:gridCol w:w="7723"/>
      </w:tblGrid>
      <w:tr w:rsidR="00E11293" w:rsidRPr="00F619BA" w14:paraId="53F3CAE1" w14:textId="77777777" w:rsidTr="005B0F6D">
        <w:trPr>
          <w:tblHeader/>
        </w:trPr>
        <w:tc>
          <w:tcPr>
            <w:tcW w:w="2050" w:type="dxa"/>
            <w:tcBorders>
              <w:top w:val="single" w:sz="6" w:space="0" w:color="CCCCCC"/>
              <w:left w:val="single" w:sz="6" w:space="0" w:color="CCCCCC"/>
              <w:bottom w:val="single" w:sz="12" w:space="0" w:color="1A3C5E"/>
              <w:right w:val="single" w:sz="6" w:space="0" w:color="CCCCCC"/>
            </w:tcBorders>
            <w:shd w:val="clear" w:color="auto" w:fill="E6F3FF"/>
            <w:tcMar>
              <w:top w:w="120" w:type="dxa"/>
              <w:left w:w="150" w:type="dxa"/>
              <w:bottom w:w="120" w:type="dxa"/>
              <w:right w:w="150" w:type="dxa"/>
            </w:tcMar>
            <w:hideMark/>
          </w:tcPr>
          <w:p w14:paraId="4E14C53D" w14:textId="77777777" w:rsidR="00E11293" w:rsidRPr="00F619BA" w:rsidRDefault="00E11293" w:rsidP="005B0F6D">
            <w:pPr>
              <w:rPr>
                <w:b/>
                <w:bCs/>
              </w:rPr>
            </w:pPr>
            <w:r w:rsidRPr="00F619BA">
              <w:rPr>
                <w:b/>
                <w:lang w:bidi="fr-FR"/>
              </w:rPr>
              <w:t>Heure</w:t>
            </w:r>
          </w:p>
        </w:tc>
        <w:tc>
          <w:tcPr>
            <w:tcW w:w="7723" w:type="dxa"/>
            <w:tcBorders>
              <w:top w:val="single" w:sz="6" w:space="0" w:color="CCCCCC"/>
              <w:left w:val="single" w:sz="6" w:space="0" w:color="CCCCCC"/>
              <w:bottom w:val="single" w:sz="12" w:space="0" w:color="1A3C5E"/>
              <w:right w:val="single" w:sz="6" w:space="0" w:color="CCCCCC"/>
            </w:tcBorders>
            <w:shd w:val="clear" w:color="auto" w:fill="E6F3FF"/>
            <w:tcMar>
              <w:top w:w="120" w:type="dxa"/>
              <w:left w:w="150" w:type="dxa"/>
              <w:bottom w:w="120" w:type="dxa"/>
              <w:right w:w="150" w:type="dxa"/>
            </w:tcMar>
            <w:hideMark/>
          </w:tcPr>
          <w:p w14:paraId="0DDF8B68" w14:textId="77777777" w:rsidR="00E11293" w:rsidRPr="00F619BA" w:rsidRDefault="00E11293" w:rsidP="005B0F6D">
            <w:pPr>
              <w:rPr>
                <w:b/>
                <w:bCs/>
              </w:rPr>
            </w:pPr>
            <w:r w:rsidRPr="00F619BA">
              <w:rPr>
                <w:b/>
                <w:lang w:bidi="fr-FR"/>
              </w:rPr>
              <w:t>Détails de la session</w:t>
            </w:r>
          </w:p>
        </w:tc>
      </w:tr>
      <w:tr w:rsidR="00E11293" w:rsidRPr="00F619BA" w14:paraId="01F3FCDF" w14:textId="77777777" w:rsidTr="005B0F6D">
        <w:tc>
          <w:tcPr>
            <w:tcW w:w="9773" w:type="dxa"/>
            <w:gridSpan w:val="2"/>
            <w:tcBorders>
              <w:top w:val="single" w:sz="6" w:space="0" w:color="CCCCCC"/>
              <w:left w:val="single" w:sz="6" w:space="0" w:color="CCCCCC"/>
              <w:bottom w:val="single" w:sz="6" w:space="0" w:color="CCCCCC"/>
              <w:right w:val="single" w:sz="6" w:space="0" w:color="CCCCCC"/>
            </w:tcBorders>
            <w:shd w:val="clear" w:color="auto" w:fill="1A3C5E"/>
            <w:tcMar>
              <w:top w:w="150" w:type="dxa"/>
              <w:left w:w="150" w:type="dxa"/>
              <w:bottom w:w="150" w:type="dxa"/>
              <w:right w:w="150" w:type="dxa"/>
            </w:tcMar>
            <w:hideMark/>
          </w:tcPr>
          <w:p w14:paraId="4ABAF91F" w14:textId="3F1E9E2D" w:rsidR="00E11293" w:rsidRPr="00F619BA" w:rsidRDefault="00E11293" w:rsidP="005B0F6D">
            <w:pPr>
              <w:rPr>
                <w:b/>
                <w:bCs/>
              </w:rPr>
            </w:pPr>
            <w:r w:rsidRPr="00F619BA">
              <w:rPr>
                <w:b/>
                <w:lang w:bidi="fr-FR"/>
              </w:rPr>
              <w:t>Événement</w:t>
            </w:r>
            <w:r w:rsidR="00A63A32">
              <w:rPr>
                <w:b/>
                <w:lang w:bidi="fr-FR"/>
              </w:rPr>
              <w:t> </w:t>
            </w:r>
            <w:r w:rsidRPr="00F619BA">
              <w:rPr>
                <w:b/>
                <w:lang w:bidi="fr-FR"/>
              </w:rPr>
              <w:t>1</w:t>
            </w:r>
            <w:r w:rsidR="00A63A32">
              <w:rPr>
                <w:b/>
                <w:lang w:bidi="fr-FR"/>
              </w:rPr>
              <w:t> </w:t>
            </w:r>
            <w:r w:rsidRPr="00F619BA">
              <w:rPr>
                <w:b/>
                <w:lang w:bidi="fr-FR"/>
              </w:rPr>
              <w:t xml:space="preserve">: Atelier d’introduction du réseau </w:t>
            </w:r>
            <w:proofErr w:type="spellStart"/>
            <w:r w:rsidRPr="00F619BA">
              <w:rPr>
                <w:b/>
                <w:lang w:bidi="fr-FR"/>
              </w:rPr>
              <w:t>PacWiCE</w:t>
            </w:r>
            <w:proofErr w:type="spellEnd"/>
            <w:r w:rsidRPr="00F619BA">
              <w:rPr>
                <w:b/>
                <w:lang w:bidi="fr-FR"/>
              </w:rPr>
              <w:t xml:space="preserve"> (</w:t>
            </w:r>
            <w:r w:rsidR="00A63A32">
              <w:rPr>
                <w:b/>
                <w:lang w:bidi="fr-FR"/>
              </w:rPr>
              <w:t>8 h </w:t>
            </w:r>
            <w:r w:rsidRPr="00F619BA">
              <w:rPr>
                <w:b/>
                <w:lang w:bidi="fr-FR"/>
              </w:rPr>
              <w:t>30 – 16</w:t>
            </w:r>
            <w:r w:rsidR="00A63A32">
              <w:rPr>
                <w:b/>
                <w:lang w:bidi="fr-FR"/>
              </w:rPr>
              <w:t> h</w:t>
            </w:r>
            <w:r w:rsidRPr="00F619BA">
              <w:rPr>
                <w:b/>
                <w:lang w:bidi="fr-FR"/>
              </w:rPr>
              <w:t>)</w:t>
            </w:r>
          </w:p>
        </w:tc>
      </w:tr>
      <w:tr w:rsidR="00E11293" w:rsidRPr="00F619BA" w14:paraId="6AE99869" w14:textId="77777777" w:rsidTr="005B0F6D">
        <w:tc>
          <w:tcPr>
            <w:tcW w:w="2050" w:type="dxa"/>
            <w:tcBorders>
              <w:top w:val="single" w:sz="6" w:space="0" w:color="CCCCCC"/>
              <w:left w:val="single" w:sz="6" w:space="0" w:color="CCCCCC"/>
              <w:bottom w:val="single" w:sz="6" w:space="0" w:color="CCCCCC"/>
              <w:right w:val="single" w:sz="6" w:space="0" w:color="CCCCCC"/>
            </w:tcBorders>
            <w:noWrap/>
            <w:tcMar>
              <w:top w:w="120" w:type="dxa"/>
              <w:left w:w="150" w:type="dxa"/>
              <w:bottom w:w="120" w:type="dxa"/>
              <w:right w:w="150" w:type="dxa"/>
            </w:tcMar>
            <w:hideMark/>
          </w:tcPr>
          <w:p w14:paraId="0838ABFD" w14:textId="3AD846CC" w:rsidR="00E11293" w:rsidRPr="00F619BA" w:rsidRDefault="00A63A32" w:rsidP="005B0F6D">
            <w:pPr>
              <w:rPr>
                <w:b/>
                <w:bCs/>
              </w:rPr>
            </w:pPr>
            <w:r>
              <w:rPr>
                <w:b/>
                <w:lang w:bidi="fr-FR"/>
              </w:rPr>
              <w:t>8 h </w:t>
            </w:r>
            <w:r w:rsidR="00E11293" w:rsidRPr="00F619BA">
              <w:rPr>
                <w:b/>
                <w:lang w:bidi="fr-FR"/>
              </w:rPr>
              <w:t xml:space="preserve">30 – </w:t>
            </w:r>
            <w:r>
              <w:rPr>
                <w:b/>
                <w:lang w:bidi="fr-FR"/>
              </w:rPr>
              <w:t>9 h</w:t>
            </w:r>
          </w:p>
        </w:tc>
        <w:tc>
          <w:tcPr>
            <w:tcW w:w="7723" w:type="dxa"/>
            <w:tcBorders>
              <w:top w:val="single" w:sz="6" w:space="0" w:color="CCCCCC"/>
              <w:left w:val="single" w:sz="6" w:space="0" w:color="CCCCCC"/>
              <w:bottom w:val="single" w:sz="6" w:space="0" w:color="CCCCCC"/>
              <w:right w:val="single" w:sz="6" w:space="0" w:color="CCCCCC"/>
            </w:tcBorders>
            <w:tcMar>
              <w:top w:w="120" w:type="dxa"/>
              <w:left w:w="150" w:type="dxa"/>
              <w:bottom w:w="120" w:type="dxa"/>
              <w:right w:w="150" w:type="dxa"/>
            </w:tcMar>
            <w:hideMark/>
          </w:tcPr>
          <w:p w14:paraId="012ACC81" w14:textId="77777777" w:rsidR="00E11293" w:rsidRDefault="00E11293" w:rsidP="005B0F6D">
            <w:pPr>
              <w:rPr>
                <w:b/>
                <w:bCs/>
              </w:rPr>
            </w:pPr>
            <w:r>
              <w:rPr>
                <w:b/>
                <w:lang w:bidi="fr-FR"/>
              </w:rPr>
              <w:t xml:space="preserve">Inscription </w:t>
            </w:r>
          </w:p>
          <w:p w14:paraId="61F40ED3" w14:textId="77777777" w:rsidR="00E11293" w:rsidRPr="00F619BA" w:rsidRDefault="00E11293" w:rsidP="005B0F6D">
            <w:r w:rsidRPr="00F619BA">
              <w:rPr>
                <w:lang w:bidi="fr-FR"/>
              </w:rPr>
              <w:t>Arrivée des participants, inscription et distribution des documents.</w:t>
            </w:r>
          </w:p>
        </w:tc>
      </w:tr>
      <w:tr w:rsidR="00E11293" w:rsidRPr="00F619BA" w14:paraId="6D569C34" w14:textId="77777777" w:rsidTr="005B0F6D">
        <w:tc>
          <w:tcPr>
            <w:tcW w:w="2050" w:type="dxa"/>
            <w:tcBorders>
              <w:top w:val="single" w:sz="6" w:space="0" w:color="CCCCCC"/>
              <w:left w:val="single" w:sz="6" w:space="0" w:color="CCCCCC"/>
              <w:bottom w:val="single" w:sz="6" w:space="0" w:color="CCCCCC"/>
              <w:right w:val="single" w:sz="6" w:space="0" w:color="CCCCCC"/>
            </w:tcBorders>
            <w:noWrap/>
            <w:tcMar>
              <w:top w:w="120" w:type="dxa"/>
              <w:left w:w="150" w:type="dxa"/>
              <w:bottom w:w="120" w:type="dxa"/>
              <w:right w:w="150" w:type="dxa"/>
            </w:tcMar>
            <w:hideMark/>
          </w:tcPr>
          <w:p w14:paraId="1E88D7CD" w14:textId="07A956EF" w:rsidR="00E11293" w:rsidRPr="00F619BA" w:rsidRDefault="00A63A32" w:rsidP="005B0F6D">
            <w:pPr>
              <w:rPr>
                <w:b/>
                <w:bCs/>
              </w:rPr>
            </w:pPr>
            <w:r>
              <w:rPr>
                <w:b/>
                <w:lang w:bidi="fr-FR"/>
              </w:rPr>
              <w:t>9 h</w:t>
            </w:r>
            <w:r w:rsidR="00E11293" w:rsidRPr="00F619BA">
              <w:rPr>
                <w:b/>
                <w:lang w:bidi="fr-FR"/>
              </w:rPr>
              <w:t xml:space="preserve"> – </w:t>
            </w:r>
            <w:r>
              <w:rPr>
                <w:b/>
                <w:lang w:bidi="fr-FR"/>
              </w:rPr>
              <w:t>9 h </w:t>
            </w:r>
            <w:r w:rsidR="00E11293" w:rsidRPr="00F619BA">
              <w:rPr>
                <w:b/>
                <w:lang w:bidi="fr-FR"/>
              </w:rPr>
              <w:t>30</w:t>
            </w:r>
          </w:p>
        </w:tc>
        <w:tc>
          <w:tcPr>
            <w:tcW w:w="7723" w:type="dxa"/>
            <w:tcBorders>
              <w:top w:val="single" w:sz="6" w:space="0" w:color="CCCCCC"/>
              <w:left w:val="single" w:sz="6" w:space="0" w:color="CCCCCC"/>
              <w:bottom w:val="single" w:sz="6" w:space="0" w:color="CCCCCC"/>
              <w:right w:val="single" w:sz="6" w:space="0" w:color="CCCCCC"/>
            </w:tcBorders>
            <w:tcMar>
              <w:top w:w="120" w:type="dxa"/>
              <w:left w:w="150" w:type="dxa"/>
              <w:bottom w:w="120" w:type="dxa"/>
              <w:right w:w="150" w:type="dxa"/>
            </w:tcMar>
            <w:hideMark/>
          </w:tcPr>
          <w:p w14:paraId="02CB9D6E" w14:textId="77777777" w:rsidR="00E11293" w:rsidRPr="00F619BA" w:rsidRDefault="00E11293" w:rsidP="005B0F6D">
            <w:r w:rsidRPr="00F619BA">
              <w:rPr>
                <w:b/>
                <w:lang w:bidi="fr-FR"/>
              </w:rPr>
              <w:t>Cérémonie d’ouverture</w:t>
            </w:r>
          </w:p>
          <w:p w14:paraId="58634326" w14:textId="77777777" w:rsidR="00E11293" w:rsidRPr="00F619BA" w:rsidRDefault="00E11293" w:rsidP="005B0F6D">
            <w:pPr>
              <w:numPr>
                <w:ilvl w:val="0"/>
                <w:numId w:val="3"/>
              </w:numPr>
            </w:pPr>
            <w:r w:rsidRPr="00F619BA">
              <w:rPr>
                <w:lang w:bidi="fr-FR"/>
              </w:rPr>
              <w:t>Prière d’ouverture</w:t>
            </w:r>
          </w:p>
          <w:p w14:paraId="7313FFDE" w14:textId="6236C72E" w:rsidR="00E11293" w:rsidRPr="00F619BA" w:rsidRDefault="00E11293" w:rsidP="005B0F6D">
            <w:pPr>
              <w:numPr>
                <w:ilvl w:val="0"/>
                <w:numId w:val="4"/>
              </w:numPr>
            </w:pPr>
            <w:r w:rsidRPr="00F619BA">
              <w:rPr>
                <w:lang w:bidi="fr-FR"/>
              </w:rPr>
              <w:t>Allocution de bienvenue</w:t>
            </w:r>
            <w:r w:rsidR="00A63A32">
              <w:rPr>
                <w:lang w:bidi="fr-FR"/>
              </w:rPr>
              <w:t> </w:t>
            </w:r>
            <w:r w:rsidRPr="00F619BA">
              <w:rPr>
                <w:lang w:bidi="fr-FR"/>
              </w:rPr>
              <w:t>: Directeur du WMPC du PROE</w:t>
            </w:r>
          </w:p>
          <w:p w14:paraId="614BCA2D" w14:textId="663E5A17" w:rsidR="00E11293" w:rsidRPr="00F619BA" w:rsidRDefault="00E11293" w:rsidP="005B0F6D">
            <w:pPr>
              <w:numPr>
                <w:ilvl w:val="0"/>
                <w:numId w:val="5"/>
              </w:numPr>
            </w:pPr>
            <w:r w:rsidRPr="00F619BA">
              <w:rPr>
                <w:lang w:bidi="fr-FR"/>
              </w:rPr>
              <w:t>Discours d’ouverture</w:t>
            </w:r>
            <w:r w:rsidR="00A63A32">
              <w:rPr>
                <w:lang w:bidi="fr-FR"/>
              </w:rPr>
              <w:t> </w:t>
            </w:r>
            <w:r w:rsidRPr="00F619BA">
              <w:rPr>
                <w:lang w:bidi="fr-FR"/>
              </w:rPr>
              <w:t>: Représentant du pays hôte (à confirmer)</w:t>
            </w:r>
          </w:p>
          <w:p w14:paraId="33981B28" w14:textId="77777777" w:rsidR="00E11293" w:rsidRPr="00F619BA" w:rsidRDefault="00E11293" w:rsidP="005B0F6D">
            <w:pPr>
              <w:numPr>
                <w:ilvl w:val="0"/>
                <w:numId w:val="6"/>
              </w:numPr>
            </w:pPr>
            <w:r w:rsidRPr="00F619BA">
              <w:rPr>
                <w:lang w:bidi="fr-FR"/>
              </w:rPr>
              <w:t>Présentation des participants</w:t>
            </w:r>
          </w:p>
        </w:tc>
      </w:tr>
      <w:tr w:rsidR="00E11293" w:rsidRPr="00F619BA" w14:paraId="0E78D6A4" w14:textId="77777777" w:rsidTr="005B0F6D">
        <w:tc>
          <w:tcPr>
            <w:tcW w:w="2050" w:type="dxa"/>
            <w:tcBorders>
              <w:top w:val="single" w:sz="6" w:space="0" w:color="CCCCCC"/>
              <w:left w:val="single" w:sz="6" w:space="0" w:color="CCCCCC"/>
              <w:bottom w:val="single" w:sz="6" w:space="0" w:color="CCCCCC"/>
              <w:right w:val="single" w:sz="6" w:space="0" w:color="CCCCCC"/>
            </w:tcBorders>
            <w:noWrap/>
            <w:tcMar>
              <w:top w:w="120" w:type="dxa"/>
              <w:left w:w="150" w:type="dxa"/>
              <w:bottom w:w="120" w:type="dxa"/>
              <w:right w:w="150" w:type="dxa"/>
            </w:tcMar>
            <w:hideMark/>
          </w:tcPr>
          <w:p w14:paraId="2EB36C74" w14:textId="3734B8E0" w:rsidR="00E11293" w:rsidRPr="00F619BA" w:rsidRDefault="00A63A32" w:rsidP="005B0F6D">
            <w:pPr>
              <w:rPr>
                <w:b/>
                <w:bCs/>
              </w:rPr>
            </w:pPr>
            <w:r>
              <w:rPr>
                <w:b/>
                <w:lang w:bidi="fr-FR"/>
              </w:rPr>
              <w:lastRenderedPageBreak/>
              <w:t>9 h </w:t>
            </w:r>
            <w:r w:rsidR="00E11293" w:rsidRPr="00F619BA">
              <w:rPr>
                <w:b/>
                <w:lang w:bidi="fr-FR"/>
              </w:rPr>
              <w:t>30 – 10</w:t>
            </w:r>
            <w:r>
              <w:rPr>
                <w:b/>
                <w:lang w:bidi="fr-FR"/>
              </w:rPr>
              <w:t> h </w:t>
            </w:r>
            <w:r w:rsidR="00E11293" w:rsidRPr="00F619BA">
              <w:rPr>
                <w:b/>
                <w:lang w:bidi="fr-FR"/>
              </w:rPr>
              <w:t>30</w:t>
            </w:r>
          </w:p>
        </w:tc>
        <w:tc>
          <w:tcPr>
            <w:tcW w:w="7723" w:type="dxa"/>
            <w:tcBorders>
              <w:top w:val="single" w:sz="6" w:space="0" w:color="CCCCCC"/>
              <w:left w:val="single" w:sz="6" w:space="0" w:color="CCCCCC"/>
              <w:bottom w:val="single" w:sz="6" w:space="0" w:color="CCCCCC"/>
              <w:right w:val="single" w:sz="6" w:space="0" w:color="CCCCCC"/>
            </w:tcBorders>
            <w:tcMar>
              <w:top w:w="120" w:type="dxa"/>
              <w:left w:w="150" w:type="dxa"/>
              <w:bottom w:w="120" w:type="dxa"/>
              <w:right w:w="150" w:type="dxa"/>
            </w:tcMar>
            <w:hideMark/>
          </w:tcPr>
          <w:p w14:paraId="49BF2644" w14:textId="0E1B368F" w:rsidR="00E11293" w:rsidRDefault="00E11293" w:rsidP="00E11293">
            <w:pPr>
              <w:rPr>
                <w:b/>
                <w:bCs/>
              </w:rPr>
            </w:pPr>
            <w:r w:rsidRPr="00F619BA">
              <w:rPr>
                <w:b/>
                <w:lang w:bidi="fr-FR"/>
              </w:rPr>
              <w:t>Session</w:t>
            </w:r>
            <w:r w:rsidR="00A63A32">
              <w:rPr>
                <w:b/>
                <w:lang w:bidi="fr-FR"/>
              </w:rPr>
              <w:t> </w:t>
            </w:r>
            <w:r w:rsidRPr="00F619BA">
              <w:rPr>
                <w:b/>
                <w:lang w:bidi="fr-FR"/>
              </w:rPr>
              <w:t>1</w:t>
            </w:r>
            <w:r w:rsidR="00A63A32">
              <w:rPr>
                <w:b/>
                <w:lang w:bidi="fr-FR"/>
              </w:rPr>
              <w:t> </w:t>
            </w:r>
            <w:r w:rsidRPr="00F619BA">
              <w:rPr>
                <w:b/>
                <w:lang w:bidi="fr-FR"/>
              </w:rPr>
              <w:t xml:space="preserve">: Apprendre du succès - Pacific Women’s Networks </w:t>
            </w:r>
          </w:p>
          <w:p w14:paraId="452BD6BE" w14:textId="45DBED59" w:rsidR="00E11293" w:rsidRPr="00F619BA" w:rsidRDefault="00E11293" w:rsidP="00E11293">
            <w:r w:rsidRPr="00F619BA">
              <w:rPr>
                <w:b/>
                <w:lang w:bidi="fr-FR"/>
              </w:rPr>
              <w:t>Table ronde avec PacWIMA et FijiWIMA</w:t>
            </w:r>
          </w:p>
          <w:p w14:paraId="3DDA2146" w14:textId="490AFE67" w:rsidR="00E11293" w:rsidRPr="00F619BA" w:rsidRDefault="009A18C5" w:rsidP="00E11293">
            <w:pPr>
              <w:numPr>
                <w:ilvl w:val="0"/>
                <w:numId w:val="10"/>
              </w:numPr>
            </w:pPr>
            <w:r>
              <w:rPr>
                <w:lang w:bidi="fr-FR"/>
              </w:rPr>
              <w:t>Enseignements tirés de la Pacific Women in Maritime Association (PacWIMA) sur la création de réseaux régionaux.</w:t>
            </w:r>
          </w:p>
          <w:p w14:paraId="743B43A2" w14:textId="30E88E21" w:rsidR="00E11293" w:rsidRPr="00F619BA" w:rsidRDefault="00E11293" w:rsidP="00E11293">
            <w:pPr>
              <w:numPr>
                <w:ilvl w:val="0"/>
                <w:numId w:val="11"/>
              </w:numPr>
            </w:pPr>
            <w:r w:rsidRPr="00F619BA">
              <w:rPr>
                <w:lang w:bidi="fr-FR"/>
              </w:rPr>
              <w:t>Stratégies de FijiWIMA pour l’autonomisation des femmes dans les domaines techniques.</w:t>
            </w:r>
          </w:p>
          <w:p w14:paraId="4D2E90E1" w14:textId="6CA7F298" w:rsidR="00E11293" w:rsidRPr="00F619BA" w:rsidRDefault="00E11293" w:rsidP="009A18C5">
            <w:r w:rsidRPr="00F619BA">
              <w:rPr>
                <w:b/>
                <w:lang w:bidi="fr-FR"/>
              </w:rPr>
              <w:t>Cercle de partage des pays</w:t>
            </w:r>
            <w:r w:rsidR="00A63A32">
              <w:rPr>
                <w:b/>
                <w:lang w:bidi="fr-FR"/>
              </w:rPr>
              <w:t> </w:t>
            </w:r>
            <w:r w:rsidRPr="00F619BA">
              <w:rPr>
                <w:b/>
                <w:lang w:bidi="fr-FR"/>
              </w:rPr>
              <w:t xml:space="preserve">: </w:t>
            </w:r>
            <w:r w:rsidRPr="00F619BA">
              <w:rPr>
                <w:lang w:bidi="fr-FR"/>
              </w:rPr>
              <w:t>Retours des membres sur les priorités concernant les femmes dans le secteur de la gestion des déchets et de la lutte contre la pollution.</w:t>
            </w:r>
          </w:p>
        </w:tc>
      </w:tr>
      <w:tr w:rsidR="00E11293" w:rsidRPr="00F619BA" w14:paraId="0A3B85E4" w14:textId="77777777" w:rsidTr="005B0F6D">
        <w:tc>
          <w:tcPr>
            <w:tcW w:w="2050" w:type="dxa"/>
            <w:tcBorders>
              <w:top w:val="single" w:sz="6" w:space="0" w:color="CCCCCC"/>
              <w:left w:val="single" w:sz="6" w:space="0" w:color="CCCCCC"/>
              <w:bottom w:val="single" w:sz="6" w:space="0" w:color="CCCCCC"/>
              <w:right w:val="single" w:sz="6" w:space="0" w:color="CCCCCC"/>
            </w:tcBorders>
            <w:shd w:val="clear" w:color="auto" w:fill="F5F5F5"/>
            <w:noWrap/>
            <w:tcMar>
              <w:top w:w="120" w:type="dxa"/>
              <w:left w:w="150" w:type="dxa"/>
              <w:bottom w:w="120" w:type="dxa"/>
              <w:right w:w="150" w:type="dxa"/>
            </w:tcMar>
            <w:hideMark/>
          </w:tcPr>
          <w:p w14:paraId="4CCF0F52" w14:textId="07EB06E3" w:rsidR="00E11293" w:rsidRPr="00F619BA" w:rsidRDefault="00E11293" w:rsidP="005B0F6D">
            <w:pPr>
              <w:rPr>
                <w:b/>
                <w:bCs/>
                <w:i/>
                <w:iCs/>
              </w:rPr>
            </w:pPr>
            <w:r w:rsidRPr="00F619BA">
              <w:rPr>
                <w:b/>
                <w:i/>
                <w:lang w:bidi="fr-FR"/>
              </w:rPr>
              <w:t>10</w:t>
            </w:r>
            <w:r w:rsidR="00A63A32">
              <w:rPr>
                <w:b/>
                <w:i/>
                <w:lang w:bidi="fr-FR"/>
              </w:rPr>
              <w:t> h </w:t>
            </w:r>
            <w:r w:rsidRPr="00F619BA">
              <w:rPr>
                <w:b/>
                <w:i/>
                <w:lang w:bidi="fr-FR"/>
              </w:rPr>
              <w:t>30 – 11</w:t>
            </w:r>
            <w:r w:rsidR="00A63A32">
              <w:rPr>
                <w:b/>
                <w:i/>
                <w:lang w:bidi="fr-FR"/>
              </w:rPr>
              <w:t> h</w:t>
            </w:r>
          </w:p>
        </w:tc>
        <w:tc>
          <w:tcPr>
            <w:tcW w:w="7723" w:type="dxa"/>
            <w:tcBorders>
              <w:top w:val="single" w:sz="6" w:space="0" w:color="CCCCCC"/>
              <w:left w:val="single" w:sz="6" w:space="0" w:color="CCCCCC"/>
              <w:bottom w:val="single" w:sz="6" w:space="0" w:color="CCCCCC"/>
              <w:right w:val="single" w:sz="6" w:space="0" w:color="CCCCCC"/>
            </w:tcBorders>
            <w:shd w:val="clear" w:color="auto" w:fill="F5F5F5"/>
            <w:tcMar>
              <w:top w:w="120" w:type="dxa"/>
              <w:left w:w="150" w:type="dxa"/>
              <w:bottom w:w="120" w:type="dxa"/>
              <w:right w:w="150" w:type="dxa"/>
            </w:tcMar>
            <w:hideMark/>
          </w:tcPr>
          <w:p w14:paraId="3E8B8A0A" w14:textId="77777777" w:rsidR="00E11293" w:rsidRPr="00F619BA" w:rsidRDefault="00E11293" w:rsidP="005B0F6D">
            <w:pPr>
              <w:rPr>
                <w:b/>
                <w:bCs/>
                <w:i/>
                <w:iCs/>
              </w:rPr>
            </w:pPr>
            <w:r w:rsidRPr="00F619BA">
              <w:rPr>
                <w:b/>
                <w:i/>
                <w:lang w:bidi="fr-FR"/>
              </w:rPr>
              <w:t>Pause thé du matin</w:t>
            </w:r>
          </w:p>
        </w:tc>
      </w:tr>
      <w:tr w:rsidR="00E11293" w:rsidRPr="00F619BA" w14:paraId="6AEE89A4" w14:textId="77777777" w:rsidTr="005B0F6D">
        <w:tc>
          <w:tcPr>
            <w:tcW w:w="2050" w:type="dxa"/>
            <w:tcBorders>
              <w:top w:val="single" w:sz="6" w:space="0" w:color="CCCCCC"/>
              <w:left w:val="single" w:sz="6" w:space="0" w:color="CCCCCC"/>
              <w:bottom w:val="single" w:sz="6" w:space="0" w:color="CCCCCC"/>
              <w:right w:val="single" w:sz="6" w:space="0" w:color="CCCCCC"/>
            </w:tcBorders>
            <w:noWrap/>
            <w:tcMar>
              <w:top w:w="120" w:type="dxa"/>
              <w:left w:w="150" w:type="dxa"/>
              <w:bottom w:w="120" w:type="dxa"/>
              <w:right w:w="150" w:type="dxa"/>
            </w:tcMar>
            <w:hideMark/>
          </w:tcPr>
          <w:p w14:paraId="288C30A8" w14:textId="5B0ABED6" w:rsidR="00E11293" w:rsidRPr="00F619BA" w:rsidRDefault="00E11293" w:rsidP="005B0F6D">
            <w:pPr>
              <w:rPr>
                <w:b/>
                <w:bCs/>
              </w:rPr>
            </w:pPr>
            <w:r w:rsidRPr="00F619BA">
              <w:rPr>
                <w:b/>
                <w:lang w:bidi="fr-FR"/>
              </w:rPr>
              <w:t>11</w:t>
            </w:r>
            <w:r w:rsidR="00A63A32">
              <w:rPr>
                <w:b/>
                <w:lang w:bidi="fr-FR"/>
              </w:rPr>
              <w:t> h</w:t>
            </w:r>
            <w:r w:rsidRPr="00F619BA">
              <w:rPr>
                <w:b/>
                <w:lang w:bidi="fr-FR"/>
              </w:rPr>
              <w:t xml:space="preserve"> – 12</w:t>
            </w:r>
            <w:r w:rsidR="00A63A32">
              <w:rPr>
                <w:b/>
                <w:lang w:bidi="fr-FR"/>
              </w:rPr>
              <w:t> h </w:t>
            </w:r>
            <w:r w:rsidRPr="00F619BA">
              <w:rPr>
                <w:b/>
                <w:lang w:bidi="fr-FR"/>
              </w:rPr>
              <w:t>30</w:t>
            </w:r>
          </w:p>
        </w:tc>
        <w:tc>
          <w:tcPr>
            <w:tcW w:w="7723" w:type="dxa"/>
            <w:tcBorders>
              <w:top w:val="single" w:sz="6" w:space="0" w:color="CCCCCC"/>
              <w:left w:val="single" w:sz="6" w:space="0" w:color="CCCCCC"/>
              <w:bottom w:val="single" w:sz="6" w:space="0" w:color="CCCCCC"/>
              <w:right w:val="single" w:sz="6" w:space="0" w:color="CCCCCC"/>
            </w:tcBorders>
            <w:tcMar>
              <w:top w:w="120" w:type="dxa"/>
              <w:left w:w="150" w:type="dxa"/>
              <w:bottom w:w="120" w:type="dxa"/>
              <w:right w:w="150" w:type="dxa"/>
            </w:tcMar>
            <w:hideMark/>
          </w:tcPr>
          <w:p w14:paraId="7AA1307C" w14:textId="7D50D6FF" w:rsidR="00E11293" w:rsidRDefault="00E11293" w:rsidP="00E11293">
            <w:pPr>
              <w:rPr>
                <w:b/>
                <w:bCs/>
              </w:rPr>
            </w:pPr>
            <w:r w:rsidRPr="00F619BA">
              <w:rPr>
                <w:b/>
                <w:lang w:bidi="fr-FR"/>
              </w:rPr>
              <w:t>Session</w:t>
            </w:r>
            <w:r w:rsidR="00A63A32">
              <w:rPr>
                <w:b/>
                <w:lang w:bidi="fr-FR"/>
              </w:rPr>
              <w:t> </w:t>
            </w:r>
            <w:r w:rsidRPr="00F619BA">
              <w:rPr>
                <w:b/>
                <w:lang w:bidi="fr-FR"/>
              </w:rPr>
              <w:t>2</w:t>
            </w:r>
            <w:r w:rsidR="00A63A32">
              <w:rPr>
                <w:b/>
                <w:lang w:bidi="fr-FR"/>
              </w:rPr>
              <w:t> </w:t>
            </w:r>
            <w:r w:rsidRPr="00F619BA">
              <w:rPr>
                <w:b/>
                <w:lang w:bidi="fr-FR"/>
              </w:rPr>
              <w:t>: Mise en place du cadre de gouvernance du réseau PacWiCE</w:t>
            </w:r>
          </w:p>
          <w:p w14:paraId="14CDF7C4" w14:textId="10E05ACB" w:rsidR="00E11293" w:rsidRPr="00F619BA" w:rsidRDefault="00E11293" w:rsidP="00E11293">
            <w:r w:rsidRPr="00F619BA">
              <w:rPr>
                <w:b/>
                <w:lang w:bidi="fr-FR"/>
              </w:rPr>
              <w:t>Atelier interactif</w:t>
            </w:r>
            <w:r w:rsidR="00A63A32">
              <w:rPr>
                <w:b/>
                <w:lang w:bidi="fr-FR"/>
              </w:rPr>
              <w:t> </w:t>
            </w:r>
            <w:r w:rsidRPr="00F619BA">
              <w:rPr>
                <w:b/>
                <w:lang w:bidi="fr-FR"/>
              </w:rPr>
              <w:t xml:space="preserve">: Construire les bases du réseau PacWiCE </w:t>
            </w:r>
          </w:p>
          <w:p w14:paraId="471237B1" w14:textId="77777777" w:rsidR="00AB78E2" w:rsidRPr="00AB78E2" w:rsidRDefault="00AB78E2" w:rsidP="00AB78E2">
            <w:pPr>
              <w:numPr>
                <w:ilvl w:val="0"/>
                <w:numId w:val="12"/>
              </w:numPr>
            </w:pPr>
            <w:r w:rsidRPr="00AB78E2">
              <w:rPr>
                <w:lang w:bidi="fr-FR"/>
              </w:rPr>
              <w:t>Compréhension des structures de gouvernance et de leur rôle dans la pérennité du réseau.</w:t>
            </w:r>
          </w:p>
          <w:p w14:paraId="20EF54B3" w14:textId="77777777" w:rsidR="00AB78E2" w:rsidRPr="00AB78E2" w:rsidRDefault="00AB78E2" w:rsidP="00AB78E2">
            <w:pPr>
              <w:numPr>
                <w:ilvl w:val="0"/>
                <w:numId w:val="12"/>
              </w:numPr>
            </w:pPr>
            <w:r w:rsidRPr="00AB78E2">
              <w:rPr>
                <w:lang w:bidi="fr-FR"/>
              </w:rPr>
              <w:t>Identifier les principales priorités et objectifs concernant les femmes dans le secteur de la gestion des déchets et de la lutte contre la pollution.</w:t>
            </w:r>
          </w:p>
          <w:p w14:paraId="189110E0" w14:textId="77777777" w:rsidR="00AB78E2" w:rsidRPr="00AB78E2" w:rsidRDefault="00AB78E2" w:rsidP="00AB78E2">
            <w:pPr>
              <w:numPr>
                <w:ilvl w:val="0"/>
                <w:numId w:val="12"/>
              </w:numPr>
            </w:pPr>
            <w:r w:rsidRPr="00AB78E2">
              <w:rPr>
                <w:lang w:bidi="fr-FR"/>
              </w:rPr>
              <w:t>Explorer les mécanismes de coordination et les canaux de communication.</w:t>
            </w:r>
          </w:p>
          <w:p w14:paraId="6615BC88" w14:textId="56881FC6" w:rsidR="00E11293" w:rsidRPr="00F619BA" w:rsidRDefault="00AB78E2" w:rsidP="00AB78E2">
            <w:pPr>
              <w:numPr>
                <w:ilvl w:val="0"/>
                <w:numId w:val="12"/>
              </w:numPr>
            </w:pPr>
            <w:r w:rsidRPr="00AB78E2">
              <w:rPr>
                <w:lang w:bidi="fr-FR"/>
              </w:rPr>
              <w:t>Définir les rôles et responsabilités au sein du réseau.</w:t>
            </w:r>
          </w:p>
        </w:tc>
      </w:tr>
      <w:tr w:rsidR="00E11293" w:rsidRPr="00F619BA" w14:paraId="1CFBDE10" w14:textId="77777777" w:rsidTr="005B0F6D">
        <w:tc>
          <w:tcPr>
            <w:tcW w:w="2050" w:type="dxa"/>
            <w:tcBorders>
              <w:top w:val="single" w:sz="6" w:space="0" w:color="CCCCCC"/>
              <w:left w:val="single" w:sz="6" w:space="0" w:color="CCCCCC"/>
              <w:bottom w:val="single" w:sz="6" w:space="0" w:color="CCCCCC"/>
              <w:right w:val="single" w:sz="6" w:space="0" w:color="CCCCCC"/>
            </w:tcBorders>
            <w:shd w:val="clear" w:color="auto" w:fill="F5F5F5"/>
            <w:noWrap/>
            <w:tcMar>
              <w:top w:w="120" w:type="dxa"/>
              <w:left w:w="150" w:type="dxa"/>
              <w:bottom w:w="120" w:type="dxa"/>
              <w:right w:w="150" w:type="dxa"/>
            </w:tcMar>
            <w:hideMark/>
          </w:tcPr>
          <w:p w14:paraId="5C23496B" w14:textId="167E9440" w:rsidR="00E11293" w:rsidRPr="00F619BA" w:rsidRDefault="00E11293" w:rsidP="005B0F6D">
            <w:pPr>
              <w:rPr>
                <w:b/>
                <w:bCs/>
                <w:i/>
                <w:iCs/>
              </w:rPr>
            </w:pPr>
            <w:r w:rsidRPr="00F619BA">
              <w:rPr>
                <w:b/>
                <w:i/>
                <w:lang w:bidi="fr-FR"/>
              </w:rPr>
              <w:t>12</w:t>
            </w:r>
            <w:r w:rsidR="00A63A32">
              <w:rPr>
                <w:b/>
                <w:i/>
                <w:lang w:bidi="fr-FR"/>
              </w:rPr>
              <w:t> h </w:t>
            </w:r>
            <w:r w:rsidRPr="00F619BA">
              <w:rPr>
                <w:b/>
                <w:i/>
                <w:lang w:bidi="fr-FR"/>
              </w:rPr>
              <w:t>30 – 13</w:t>
            </w:r>
            <w:r w:rsidR="00A63A32">
              <w:rPr>
                <w:b/>
                <w:i/>
                <w:lang w:bidi="fr-FR"/>
              </w:rPr>
              <w:t> h </w:t>
            </w:r>
            <w:r w:rsidRPr="00F619BA">
              <w:rPr>
                <w:b/>
                <w:i/>
                <w:lang w:bidi="fr-FR"/>
              </w:rPr>
              <w:t>30</w:t>
            </w:r>
          </w:p>
        </w:tc>
        <w:tc>
          <w:tcPr>
            <w:tcW w:w="7723" w:type="dxa"/>
            <w:tcBorders>
              <w:top w:val="single" w:sz="6" w:space="0" w:color="CCCCCC"/>
              <w:left w:val="single" w:sz="6" w:space="0" w:color="CCCCCC"/>
              <w:bottom w:val="single" w:sz="6" w:space="0" w:color="CCCCCC"/>
              <w:right w:val="single" w:sz="6" w:space="0" w:color="CCCCCC"/>
            </w:tcBorders>
            <w:shd w:val="clear" w:color="auto" w:fill="F5F5F5"/>
            <w:tcMar>
              <w:top w:w="120" w:type="dxa"/>
              <w:left w:w="150" w:type="dxa"/>
              <w:bottom w:w="120" w:type="dxa"/>
              <w:right w:w="150" w:type="dxa"/>
            </w:tcMar>
            <w:hideMark/>
          </w:tcPr>
          <w:p w14:paraId="50C47CFD" w14:textId="77777777" w:rsidR="00E11293" w:rsidRPr="00F619BA" w:rsidRDefault="00E11293" w:rsidP="005B0F6D">
            <w:pPr>
              <w:rPr>
                <w:b/>
                <w:bCs/>
                <w:i/>
                <w:iCs/>
              </w:rPr>
            </w:pPr>
            <w:r w:rsidRPr="00F619BA">
              <w:rPr>
                <w:b/>
                <w:i/>
                <w:lang w:bidi="fr-FR"/>
              </w:rPr>
              <w:t>Pause déjeuner</w:t>
            </w:r>
          </w:p>
        </w:tc>
      </w:tr>
      <w:tr w:rsidR="00E11293" w:rsidRPr="00F619BA" w14:paraId="46C1DF8F" w14:textId="77777777" w:rsidTr="005B0F6D">
        <w:tc>
          <w:tcPr>
            <w:tcW w:w="2050" w:type="dxa"/>
            <w:tcBorders>
              <w:top w:val="single" w:sz="6" w:space="0" w:color="CCCCCC"/>
              <w:left w:val="single" w:sz="6" w:space="0" w:color="CCCCCC"/>
              <w:bottom w:val="single" w:sz="6" w:space="0" w:color="CCCCCC"/>
              <w:right w:val="single" w:sz="6" w:space="0" w:color="CCCCCC"/>
            </w:tcBorders>
            <w:noWrap/>
            <w:tcMar>
              <w:top w:w="120" w:type="dxa"/>
              <w:left w:w="150" w:type="dxa"/>
              <w:bottom w:w="120" w:type="dxa"/>
              <w:right w:w="150" w:type="dxa"/>
            </w:tcMar>
            <w:hideMark/>
          </w:tcPr>
          <w:p w14:paraId="0582D1B9" w14:textId="3E5C623F" w:rsidR="00E11293" w:rsidRPr="00F619BA" w:rsidRDefault="00E11293" w:rsidP="005B0F6D">
            <w:pPr>
              <w:rPr>
                <w:b/>
                <w:bCs/>
              </w:rPr>
            </w:pPr>
            <w:r w:rsidRPr="00F619BA">
              <w:rPr>
                <w:b/>
                <w:lang w:bidi="fr-FR"/>
              </w:rPr>
              <w:t>13</w:t>
            </w:r>
            <w:r w:rsidR="00A63A32">
              <w:rPr>
                <w:b/>
                <w:lang w:bidi="fr-FR"/>
              </w:rPr>
              <w:t> h </w:t>
            </w:r>
            <w:r w:rsidRPr="00F619BA">
              <w:rPr>
                <w:b/>
                <w:lang w:bidi="fr-FR"/>
              </w:rPr>
              <w:t>30 – 15</w:t>
            </w:r>
            <w:r w:rsidR="00A63A32">
              <w:rPr>
                <w:b/>
                <w:lang w:bidi="fr-FR"/>
              </w:rPr>
              <w:t> h</w:t>
            </w:r>
          </w:p>
        </w:tc>
        <w:tc>
          <w:tcPr>
            <w:tcW w:w="7723" w:type="dxa"/>
            <w:tcBorders>
              <w:top w:val="single" w:sz="6" w:space="0" w:color="CCCCCC"/>
              <w:left w:val="single" w:sz="6" w:space="0" w:color="CCCCCC"/>
              <w:bottom w:val="single" w:sz="6" w:space="0" w:color="CCCCCC"/>
              <w:right w:val="single" w:sz="6" w:space="0" w:color="CCCCCC"/>
            </w:tcBorders>
            <w:tcMar>
              <w:top w:w="120" w:type="dxa"/>
              <w:left w:w="150" w:type="dxa"/>
              <w:bottom w:w="120" w:type="dxa"/>
              <w:right w:w="150" w:type="dxa"/>
            </w:tcMar>
            <w:hideMark/>
          </w:tcPr>
          <w:p w14:paraId="06B46BBF" w14:textId="5327CEF1" w:rsidR="00E11293" w:rsidRDefault="00E11293" w:rsidP="005B0F6D">
            <w:pPr>
              <w:rPr>
                <w:b/>
                <w:bCs/>
              </w:rPr>
            </w:pPr>
            <w:r w:rsidRPr="00F619BA">
              <w:rPr>
                <w:b/>
                <w:lang w:bidi="fr-FR"/>
              </w:rPr>
              <w:t>Session</w:t>
            </w:r>
            <w:r w:rsidR="00A63A32">
              <w:rPr>
                <w:b/>
                <w:lang w:bidi="fr-FR"/>
              </w:rPr>
              <w:t> </w:t>
            </w:r>
            <w:r w:rsidRPr="00F619BA">
              <w:rPr>
                <w:b/>
                <w:lang w:bidi="fr-FR"/>
              </w:rPr>
              <w:t>3</w:t>
            </w:r>
            <w:r w:rsidR="00A63A32">
              <w:rPr>
                <w:b/>
                <w:lang w:bidi="fr-FR"/>
              </w:rPr>
              <w:t> </w:t>
            </w:r>
            <w:r w:rsidRPr="00F619BA">
              <w:rPr>
                <w:b/>
                <w:lang w:bidi="fr-FR"/>
              </w:rPr>
              <w:t>: Mise en place des modalités de gouvernance</w:t>
            </w:r>
          </w:p>
          <w:p w14:paraId="52962114" w14:textId="4D5E3975" w:rsidR="00E11293" w:rsidRPr="00F619BA" w:rsidRDefault="00E11293" w:rsidP="005B0F6D">
            <w:r w:rsidRPr="00F619BA">
              <w:rPr>
                <w:b/>
                <w:lang w:bidi="fr-FR"/>
              </w:rPr>
              <w:t>Atelier interactif</w:t>
            </w:r>
            <w:r w:rsidR="00A63A32">
              <w:rPr>
                <w:b/>
                <w:lang w:bidi="fr-FR"/>
              </w:rPr>
              <w:t> </w:t>
            </w:r>
            <w:r w:rsidRPr="00F619BA">
              <w:rPr>
                <w:b/>
                <w:lang w:bidi="fr-FR"/>
              </w:rPr>
              <w:t>: Mise en place de mécanismes de coordination et de soutien</w:t>
            </w:r>
          </w:p>
          <w:p w14:paraId="447147B9" w14:textId="77777777" w:rsidR="00C00840" w:rsidRDefault="00C00840" w:rsidP="00C00840">
            <w:pPr>
              <w:numPr>
                <w:ilvl w:val="0"/>
                <w:numId w:val="13"/>
              </w:numPr>
            </w:pPr>
            <w:r>
              <w:rPr>
                <w:lang w:bidi="fr-FR"/>
              </w:rPr>
              <w:t>Identifier les parties prenantes nationales et régionales, les partenaires de mise en œuvre et les principaux collaborateurs.</w:t>
            </w:r>
          </w:p>
          <w:p w14:paraId="48D966BD" w14:textId="77777777" w:rsidR="00C00840" w:rsidRDefault="00C00840" w:rsidP="00C00840">
            <w:pPr>
              <w:numPr>
                <w:ilvl w:val="0"/>
                <w:numId w:val="13"/>
              </w:numPr>
            </w:pPr>
            <w:r>
              <w:rPr>
                <w:lang w:bidi="fr-FR"/>
              </w:rPr>
              <w:t>Mettre en place des processus décisionnels et des mécanismes de responsabilité.</w:t>
            </w:r>
          </w:p>
          <w:p w14:paraId="57473507" w14:textId="77777777" w:rsidR="00C00840" w:rsidRDefault="00C00840" w:rsidP="00C00840">
            <w:pPr>
              <w:numPr>
                <w:ilvl w:val="0"/>
                <w:numId w:val="13"/>
              </w:numPr>
            </w:pPr>
            <w:r>
              <w:rPr>
                <w:lang w:bidi="fr-FR"/>
              </w:rPr>
              <w:t>Définir les modalités de coordination et de collaboration entre les membres.</w:t>
            </w:r>
          </w:p>
          <w:p w14:paraId="10667C79" w14:textId="61CA3B9C" w:rsidR="00B83C80" w:rsidRPr="00F619BA" w:rsidRDefault="00C00840" w:rsidP="00C00840">
            <w:pPr>
              <w:numPr>
                <w:ilvl w:val="0"/>
                <w:numId w:val="13"/>
              </w:numPr>
            </w:pPr>
            <w:r>
              <w:rPr>
                <w:lang w:bidi="fr-FR"/>
              </w:rPr>
              <w:t>Identifier les besoins de soutien et les ressources nécessaires au fonctionnement du réseau.</w:t>
            </w:r>
          </w:p>
        </w:tc>
      </w:tr>
      <w:tr w:rsidR="00E11293" w:rsidRPr="00F619BA" w14:paraId="4A096D49" w14:textId="77777777" w:rsidTr="005B0F6D">
        <w:tc>
          <w:tcPr>
            <w:tcW w:w="2050" w:type="dxa"/>
            <w:tcBorders>
              <w:top w:val="single" w:sz="6" w:space="0" w:color="CCCCCC"/>
              <w:left w:val="single" w:sz="6" w:space="0" w:color="CCCCCC"/>
              <w:bottom w:val="single" w:sz="6" w:space="0" w:color="CCCCCC"/>
              <w:right w:val="single" w:sz="6" w:space="0" w:color="CCCCCC"/>
            </w:tcBorders>
            <w:shd w:val="clear" w:color="auto" w:fill="F5F5F5"/>
            <w:noWrap/>
            <w:tcMar>
              <w:top w:w="120" w:type="dxa"/>
              <w:left w:w="150" w:type="dxa"/>
              <w:bottom w:w="120" w:type="dxa"/>
              <w:right w:w="150" w:type="dxa"/>
            </w:tcMar>
            <w:hideMark/>
          </w:tcPr>
          <w:p w14:paraId="73B3C249" w14:textId="18E6BD98" w:rsidR="00E11293" w:rsidRPr="00F619BA" w:rsidRDefault="00E11293" w:rsidP="005B0F6D">
            <w:pPr>
              <w:rPr>
                <w:b/>
                <w:bCs/>
                <w:i/>
                <w:iCs/>
              </w:rPr>
            </w:pPr>
            <w:r w:rsidRPr="00F619BA">
              <w:rPr>
                <w:lang w:bidi="fr-FR"/>
              </w:rPr>
              <w:t>15</w:t>
            </w:r>
            <w:r w:rsidR="00A63A32">
              <w:rPr>
                <w:lang w:bidi="fr-FR"/>
              </w:rPr>
              <w:t> h</w:t>
            </w:r>
            <w:r w:rsidRPr="00F619BA">
              <w:rPr>
                <w:lang w:bidi="fr-FR"/>
              </w:rPr>
              <w:t xml:space="preserve"> – 15</w:t>
            </w:r>
            <w:r w:rsidR="00A63A32">
              <w:rPr>
                <w:lang w:bidi="fr-FR"/>
              </w:rPr>
              <w:t> h </w:t>
            </w:r>
            <w:r w:rsidRPr="00F619BA">
              <w:rPr>
                <w:lang w:bidi="fr-FR"/>
              </w:rPr>
              <w:t>30</w:t>
            </w:r>
          </w:p>
        </w:tc>
        <w:tc>
          <w:tcPr>
            <w:tcW w:w="7723" w:type="dxa"/>
            <w:tcBorders>
              <w:top w:val="single" w:sz="6" w:space="0" w:color="CCCCCC"/>
              <w:left w:val="single" w:sz="6" w:space="0" w:color="CCCCCC"/>
              <w:bottom w:val="single" w:sz="6" w:space="0" w:color="CCCCCC"/>
              <w:right w:val="single" w:sz="6" w:space="0" w:color="CCCCCC"/>
            </w:tcBorders>
            <w:shd w:val="clear" w:color="auto" w:fill="F5F5F5"/>
            <w:tcMar>
              <w:top w:w="120" w:type="dxa"/>
              <w:left w:w="150" w:type="dxa"/>
              <w:bottom w:w="120" w:type="dxa"/>
              <w:right w:w="150" w:type="dxa"/>
            </w:tcMar>
            <w:hideMark/>
          </w:tcPr>
          <w:p w14:paraId="523157FD" w14:textId="77777777" w:rsidR="00E11293" w:rsidRPr="00F619BA" w:rsidRDefault="00E11293" w:rsidP="005B0F6D">
            <w:pPr>
              <w:rPr>
                <w:b/>
                <w:bCs/>
                <w:i/>
                <w:iCs/>
              </w:rPr>
            </w:pPr>
            <w:r w:rsidRPr="00F619BA">
              <w:rPr>
                <w:b/>
                <w:i/>
                <w:lang w:bidi="fr-FR"/>
              </w:rPr>
              <w:t>Pause thé de l’après-midi</w:t>
            </w:r>
          </w:p>
        </w:tc>
      </w:tr>
      <w:tr w:rsidR="00E11293" w:rsidRPr="00F619BA" w14:paraId="52D33E3D" w14:textId="77777777" w:rsidTr="005B0F6D">
        <w:tc>
          <w:tcPr>
            <w:tcW w:w="2050" w:type="dxa"/>
            <w:tcBorders>
              <w:top w:val="single" w:sz="6" w:space="0" w:color="CCCCCC"/>
              <w:left w:val="single" w:sz="6" w:space="0" w:color="CCCCCC"/>
              <w:bottom w:val="single" w:sz="6" w:space="0" w:color="CCCCCC"/>
              <w:right w:val="single" w:sz="6" w:space="0" w:color="CCCCCC"/>
            </w:tcBorders>
            <w:noWrap/>
            <w:tcMar>
              <w:top w:w="120" w:type="dxa"/>
              <w:left w:w="150" w:type="dxa"/>
              <w:bottom w:w="120" w:type="dxa"/>
              <w:right w:w="150" w:type="dxa"/>
            </w:tcMar>
            <w:hideMark/>
          </w:tcPr>
          <w:p w14:paraId="66B26455" w14:textId="759326AA" w:rsidR="00E11293" w:rsidRPr="00F619BA" w:rsidRDefault="00E11293" w:rsidP="005B0F6D">
            <w:pPr>
              <w:rPr>
                <w:b/>
                <w:bCs/>
              </w:rPr>
            </w:pPr>
            <w:r w:rsidRPr="00F619BA">
              <w:rPr>
                <w:lang w:bidi="fr-FR"/>
              </w:rPr>
              <w:lastRenderedPageBreak/>
              <w:t>15</w:t>
            </w:r>
            <w:r w:rsidR="00A63A32">
              <w:rPr>
                <w:lang w:bidi="fr-FR"/>
              </w:rPr>
              <w:t> h </w:t>
            </w:r>
            <w:r w:rsidRPr="00F619BA">
              <w:rPr>
                <w:lang w:bidi="fr-FR"/>
              </w:rPr>
              <w:t>30 – 16</w:t>
            </w:r>
            <w:r w:rsidR="00A63A32">
              <w:rPr>
                <w:lang w:bidi="fr-FR"/>
              </w:rPr>
              <w:t> h</w:t>
            </w:r>
          </w:p>
        </w:tc>
        <w:tc>
          <w:tcPr>
            <w:tcW w:w="7723" w:type="dxa"/>
            <w:tcBorders>
              <w:top w:val="single" w:sz="6" w:space="0" w:color="CCCCCC"/>
              <w:left w:val="single" w:sz="6" w:space="0" w:color="CCCCCC"/>
              <w:bottom w:val="single" w:sz="6" w:space="0" w:color="CCCCCC"/>
              <w:right w:val="single" w:sz="6" w:space="0" w:color="CCCCCC"/>
            </w:tcBorders>
            <w:tcMar>
              <w:top w:w="120" w:type="dxa"/>
              <w:left w:w="150" w:type="dxa"/>
              <w:bottom w:w="120" w:type="dxa"/>
              <w:right w:w="150" w:type="dxa"/>
            </w:tcMar>
            <w:hideMark/>
          </w:tcPr>
          <w:p w14:paraId="64BFF069" w14:textId="1FA429FA" w:rsidR="00E11293" w:rsidRPr="00F619BA" w:rsidRDefault="00E11293" w:rsidP="005B0F6D">
            <w:r w:rsidRPr="00F619BA">
              <w:rPr>
                <w:b/>
                <w:lang w:bidi="fr-FR"/>
              </w:rPr>
              <w:t>Session</w:t>
            </w:r>
            <w:r w:rsidR="00A63A32">
              <w:rPr>
                <w:b/>
                <w:lang w:bidi="fr-FR"/>
              </w:rPr>
              <w:t> </w:t>
            </w:r>
            <w:r w:rsidRPr="00F619BA">
              <w:rPr>
                <w:b/>
                <w:lang w:bidi="fr-FR"/>
              </w:rPr>
              <w:t>4</w:t>
            </w:r>
            <w:r w:rsidR="00A63A32">
              <w:rPr>
                <w:b/>
                <w:lang w:bidi="fr-FR"/>
              </w:rPr>
              <w:t> </w:t>
            </w:r>
            <w:r w:rsidRPr="00F619BA">
              <w:rPr>
                <w:b/>
                <w:lang w:bidi="fr-FR"/>
              </w:rPr>
              <w:t xml:space="preserve">: Prochaines étapes </w:t>
            </w:r>
          </w:p>
          <w:p w14:paraId="1B8D66B2" w14:textId="6ECC2F81" w:rsidR="001206A7" w:rsidRPr="001206A7" w:rsidRDefault="001206A7" w:rsidP="001206A7">
            <w:pPr>
              <w:numPr>
                <w:ilvl w:val="0"/>
                <w:numId w:val="20"/>
              </w:numPr>
            </w:pPr>
            <w:r w:rsidRPr="001206A7">
              <w:rPr>
                <w:lang w:bidi="fr-FR"/>
              </w:rPr>
              <w:t>Désignation des points focaux des membres</w:t>
            </w:r>
            <w:r w:rsidR="00A63A32">
              <w:rPr>
                <w:lang w:bidi="fr-FR"/>
              </w:rPr>
              <w:t> </w:t>
            </w:r>
            <w:r w:rsidRPr="001206A7">
              <w:rPr>
                <w:lang w:bidi="fr-FR"/>
              </w:rPr>
              <w:t>: Confirmation des principaux contacts PacWiCE.</w:t>
            </w:r>
          </w:p>
          <w:p w14:paraId="1AA96C92" w14:textId="107025ED" w:rsidR="001206A7" w:rsidRPr="001206A7" w:rsidRDefault="001206A7" w:rsidP="001206A7">
            <w:pPr>
              <w:numPr>
                <w:ilvl w:val="0"/>
                <w:numId w:val="20"/>
              </w:numPr>
            </w:pPr>
            <w:r w:rsidRPr="001206A7">
              <w:rPr>
                <w:lang w:bidi="fr-FR"/>
              </w:rPr>
              <w:t>Prochaines étapes</w:t>
            </w:r>
            <w:r w:rsidR="00A63A32">
              <w:rPr>
                <w:lang w:bidi="fr-FR"/>
              </w:rPr>
              <w:t> </w:t>
            </w:r>
            <w:r w:rsidRPr="001206A7">
              <w:rPr>
                <w:lang w:bidi="fr-FR"/>
              </w:rPr>
              <w:t>: Présentation d’une synthèse des résultats.</w:t>
            </w:r>
          </w:p>
          <w:p w14:paraId="70B6CF77" w14:textId="77777777" w:rsidR="001206A7" w:rsidRPr="001206A7" w:rsidRDefault="001206A7" w:rsidP="001206A7">
            <w:pPr>
              <w:numPr>
                <w:ilvl w:val="0"/>
                <w:numId w:val="20"/>
              </w:numPr>
            </w:pPr>
            <w:r w:rsidRPr="001206A7">
              <w:rPr>
                <w:lang w:bidi="fr-FR"/>
              </w:rPr>
              <w:t>Remarques de clôture de l’atelier PacWiCE.</w:t>
            </w:r>
          </w:p>
          <w:p w14:paraId="0332E6F7" w14:textId="3041EB70" w:rsidR="00E11293" w:rsidRPr="00F619BA" w:rsidRDefault="001206A7" w:rsidP="001206A7">
            <w:pPr>
              <w:numPr>
                <w:ilvl w:val="0"/>
                <w:numId w:val="20"/>
              </w:numPr>
            </w:pPr>
            <w:r w:rsidRPr="001206A7">
              <w:rPr>
                <w:lang w:bidi="fr-FR"/>
              </w:rPr>
              <w:t>Photo de groupe officielle.</w:t>
            </w:r>
          </w:p>
        </w:tc>
      </w:tr>
      <w:tr w:rsidR="00F619BA" w:rsidRPr="00F619BA" w14:paraId="296CB048" w14:textId="77777777" w:rsidTr="00F619BA">
        <w:tc>
          <w:tcPr>
            <w:tcW w:w="9773" w:type="dxa"/>
            <w:gridSpan w:val="2"/>
            <w:tcBorders>
              <w:top w:val="single" w:sz="6" w:space="0" w:color="CCCCCC"/>
              <w:left w:val="single" w:sz="6" w:space="0" w:color="CCCCCC"/>
              <w:bottom w:val="single" w:sz="6" w:space="0" w:color="CCCCCC"/>
              <w:right w:val="single" w:sz="6" w:space="0" w:color="CCCCCC"/>
            </w:tcBorders>
            <w:shd w:val="clear" w:color="auto" w:fill="1A3C5E"/>
            <w:tcMar>
              <w:top w:w="150" w:type="dxa"/>
              <w:left w:w="150" w:type="dxa"/>
              <w:bottom w:w="150" w:type="dxa"/>
              <w:right w:w="150" w:type="dxa"/>
            </w:tcMar>
            <w:hideMark/>
          </w:tcPr>
          <w:p w14:paraId="00F09ABB" w14:textId="557D455E" w:rsidR="00F619BA" w:rsidRPr="00F619BA" w:rsidRDefault="00F619BA" w:rsidP="00F619BA">
            <w:pPr>
              <w:rPr>
                <w:b/>
                <w:bCs/>
              </w:rPr>
            </w:pPr>
            <w:r w:rsidRPr="00F619BA">
              <w:rPr>
                <w:b/>
                <w:lang w:bidi="fr-FR"/>
              </w:rPr>
              <w:t>Événement</w:t>
            </w:r>
            <w:r w:rsidR="00A63A32">
              <w:rPr>
                <w:b/>
                <w:lang w:bidi="fr-FR"/>
              </w:rPr>
              <w:t> </w:t>
            </w:r>
            <w:r w:rsidRPr="00F619BA">
              <w:rPr>
                <w:b/>
                <w:lang w:bidi="fr-FR"/>
              </w:rPr>
              <w:t>2</w:t>
            </w:r>
            <w:r w:rsidR="00A63A32">
              <w:rPr>
                <w:b/>
                <w:lang w:bidi="fr-FR"/>
              </w:rPr>
              <w:t> </w:t>
            </w:r>
            <w:r w:rsidRPr="00F619BA">
              <w:rPr>
                <w:b/>
                <w:lang w:bidi="fr-FR"/>
              </w:rPr>
              <w:t>: Réunion</w:t>
            </w:r>
            <w:r w:rsidR="00A63A32">
              <w:rPr>
                <w:b/>
                <w:lang w:bidi="fr-FR"/>
              </w:rPr>
              <w:t> </w:t>
            </w:r>
            <w:r w:rsidRPr="00F619BA">
              <w:rPr>
                <w:b/>
                <w:lang w:bidi="fr-FR"/>
              </w:rPr>
              <w:t>1, 2026 du comité directeur de la table ronde Cleaner Pacific (16</w:t>
            </w:r>
            <w:r w:rsidR="00A63A32">
              <w:rPr>
                <w:b/>
                <w:lang w:bidi="fr-FR"/>
              </w:rPr>
              <w:t> h</w:t>
            </w:r>
            <w:r w:rsidRPr="00F619BA">
              <w:rPr>
                <w:b/>
                <w:lang w:bidi="fr-FR"/>
              </w:rPr>
              <w:t xml:space="preserve"> – 17</w:t>
            </w:r>
            <w:r w:rsidR="00A63A32">
              <w:rPr>
                <w:b/>
                <w:lang w:bidi="fr-FR"/>
              </w:rPr>
              <w:t> h </w:t>
            </w:r>
            <w:r w:rsidRPr="00F619BA">
              <w:rPr>
                <w:b/>
                <w:lang w:bidi="fr-FR"/>
              </w:rPr>
              <w:t>30)</w:t>
            </w:r>
          </w:p>
        </w:tc>
      </w:tr>
      <w:tr w:rsidR="00F619BA" w:rsidRPr="00F619BA" w14:paraId="3451DABB" w14:textId="77777777" w:rsidTr="00F619BA">
        <w:tc>
          <w:tcPr>
            <w:tcW w:w="2050" w:type="dxa"/>
            <w:tcBorders>
              <w:top w:val="single" w:sz="6" w:space="0" w:color="CCCCCC"/>
              <w:left w:val="single" w:sz="6" w:space="0" w:color="CCCCCC"/>
              <w:bottom w:val="single" w:sz="6" w:space="0" w:color="CCCCCC"/>
              <w:right w:val="single" w:sz="6" w:space="0" w:color="CCCCCC"/>
            </w:tcBorders>
            <w:noWrap/>
            <w:tcMar>
              <w:top w:w="120" w:type="dxa"/>
              <w:left w:w="150" w:type="dxa"/>
              <w:bottom w:w="120" w:type="dxa"/>
              <w:right w:w="150" w:type="dxa"/>
            </w:tcMar>
            <w:hideMark/>
          </w:tcPr>
          <w:p w14:paraId="49B38469" w14:textId="063109D1" w:rsidR="00F619BA" w:rsidRPr="00F619BA" w:rsidRDefault="00F619BA" w:rsidP="00F619BA">
            <w:pPr>
              <w:rPr>
                <w:b/>
                <w:bCs/>
              </w:rPr>
            </w:pPr>
            <w:r w:rsidRPr="00F619BA">
              <w:rPr>
                <w:b/>
                <w:lang w:bidi="fr-FR"/>
              </w:rPr>
              <w:t>16</w:t>
            </w:r>
            <w:r w:rsidR="00A63A32">
              <w:rPr>
                <w:b/>
                <w:lang w:bidi="fr-FR"/>
              </w:rPr>
              <w:t> h</w:t>
            </w:r>
            <w:r w:rsidRPr="00F619BA">
              <w:rPr>
                <w:b/>
                <w:lang w:bidi="fr-FR"/>
              </w:rPr>
              <w:t xml:space="preserve"> – 16</w:t>
            </w:r>
            <w:r w:rsidR="00A63A32">
              <w:rPr>
                <w:b/>
                <w:lang w:bidi="fr-FR"/>
              </w:rPr>
              <w:t> h </w:t>
            </w:r>
            <w:r w:rsidRPr="00F619BA">
              <w:rPr>
                <w:b/>
                <w:lang w:bidi="fr-FR"/>
              </w:rPr>
              <w:t>10</w:t>
            </w:r>
          </w:p>
        </w:tc>
        <w:tc>
          <w:tcPr>
            <w:tcW w:w="7723" w:type="dxa"/>
            <w:tcBorders>
              <w:top w:val="single" w:sz="6" w:space="0" w:color="CCCCCC"/>
              <w:left w:val="single" w:sz="6" w:space="0" w:color="CCCCCC"/>
              <w:bottom w:val="single" w:sz="6" w:space="0" w:color="CCCCCC"/>
              <w:right w:val="single" w:sz="6" w:space="0" w:color="CCCCCC"/>
            </w:tcBorders>
            <w:tcMar>
              <w:top w:w="120" w:type="dxa"/>
              <w:left w:w="150" w:type="dxa"/>
              <w:bottom w:w="120" w:type="dxa"/>
              <w:right w:w="150" w:type="dxa"/>
            </w:tcMar>
            <w:hideMark/>
          </w:tcPr>
          <w:p w14:paraId="06EB95B7" w14:textId="2C08A995" w:rsidR="00F619BA" w:rsidRPr="00F619BA" w:rsidRDefault="00F619BA" w:rsidP="00F619BA">
            <w:r w:rsidRPr="00F619BA">
              <w:rPr>
                <w:b/>
                <w:lang w:bidi="fr-FR"/>
              </w:rPr>
              <w:t>Point</w:t>
            </w:r>
            <w:r w:rsidR="00A63A32">
              <w:rPr>
                <w:b/>
                <w:lang w:bidi="fr-FR"/>
              </w:rPr>
              <w:t> </w:t>
            </w:r>
            <w:r w:rsidRPr="00F619BA">
              <w:rPr>
                <w:b/>
                <w:lang w:bidi="fr-FR"/>
              </w:rPr>
              <w:t>1</w:t>
            </w:r>
            <w:r w:rsidR="00A63A32">
              <w:rPr>
                <w:b/>
                <w:lang w:bidi="fr-FR"/>
              </w:rPr>
              <w:t> </w:t>
            </w:r>
            <w:r w:rsidRPr="00F619BA">
              <w:rPr>
                <w:b/>
                <w:lang w:bidi="fr-FR"/>
              </w:rPr>
              <w:t>: Accueil et ouverture</w:t>
            </w:r>
          </w:p>
          <w:p w14:paraId="16DB35F2" w14:textId="77777777" w:rsidR="00F619BA" w:rsidRPr="00F619BA" w:rsidRDefault="00F619BA" w:rsidP="00F619BA">
            <w:pPr>
              <w:numPr>
                <w:ilvl w:val="0"/>
                <w:numId w:val="24"/>
              </w:numPr>
            </w:pPr>
            <w:r w:rsidRPr="00F619BA">
              <w:rPr>
                <w:lang w:bidi="fr-FR"/>
              </w:rPr>
              <w:t>Accueil et prière d’ouverture</w:t>
            </w:r>
          </w:p>
          <w:p w14:paraId="72B13BAF" w14:textId="77777777" w:rsidR="00F619BA" w:rsidRPr="00F619BA" w:rsidRDefault="00F619BA" w:rsidP="00F619BA">
            <w:pPr>
              <w:numPr>
                <w:ilvl w:val="0"/>
                <w:numId w:val="25"/>
              </w:numPr>
            </w:pPr>
            <w:r w:rsidRPr="00F619BA">
              <w:rPr>
                <w:lang w:bidi="fr-FR"/>
              </w:rPr>
              <w:t>Confirmation des présences et excuses</w:t>
            </w:r>
          </w:p>
          <w:p w14:paraId="144BA050" w14:textId="77777777" w:rsidR="00F619BA" w:rsidRPr="00F619BA" w:rsidRDefault="00F619BA" w:rsidP="00F619BA">
            <w:pPr>
              <w:numPr>
                <w:ilvl w:val="0"/>
                <w:numId w:val="26"/>
              </w:numPr>
            </w:pPr>
            <w:r w:rsidRPr="00F619BA">
              <w:rPr>
                <w:lang w:bidi="fr-FR"/>
              </w:rPr>
              <w:t>Adoption de l’ordre du jour</w:t>
            </w:r>
          </w:p>
        </w:tc>
      </w:tr>
      <w:tr w:rsidR="00F619BA" w:rsidRPr="00F619BA" w14:paraId="205EE80A" w14:textId="77777777" w:rsidTr="00F619BA">
        <w:tc>
          <w:tcPr>
            <w:tcW w:w="2050" w:type="dxa"/>
            <w:tcBorders>
              <w:top w:val="single" w:sz="6" w:space="0" w:color="CCCCCC"/>
              <w:left w:val="single" w:sz="6" w:space="0" w:color="CCCCCC"/>
              <w:bottom w:val="single" w:sz="6" w:space="0" w:color="CCCCCC"/>
              <w:right w:val="single" w:sz="6" w:space="0" w:color="CCCCCC"/>
            </w:tcBorders>
            <w:noWrap/>
            <w:tcMar>
              <w:top w:w="120" w:type="dxa"/>
              <w:left w:w="150" w:type="dxa"/>
              <w:bottom w:w="120" w:type="dxa"/>
              <w:right w:w="150" w:type="dxa"/>
            </w:tcMar>
            <w:hideMark/>
          </w:tcPr>
          <w:p w14:paraId="4340FE37" w14:textId="1996797A" w:rsidR="00F619BA" w:rsidRPr="00F619BA" w:rsidRDefault="00F619BA" w:rsidP="00F619BA">
            <w:pPr>
              <w:rPr>
                <w:b/>
                <w:bCs/>
              </w:rPr>
            </w:pPr>
            <w:r w:rsidRPr="00F619BA">
              <w:rPr>
                <w:b/>
                <w:lang w:bidi="fr-FR"/>
              </w:rPr>
              <w:t>16</w:t>
            </w:r>
            <w:r w:rsidR="00A63A32">
              <w:rPr>
                <w:b/>
                <w:lang w:bidi="fr-FR"/>
              </w:rPr>
              <w:t> h </w:t>
            </w:r>
            <w:r w:rsidRPr="00F619BA">
              <w:rPr>
                <w:b/>
                <w:lang w:bidi="fr-FR"/>
              </w:rPr>
              <w:t>10 – 16</w:t>
            </w:r>
            <w:r w:rsidR="00A63A32">
              <w:rPr>
                <w:b/>
                <w:lang w:bidi="fr-FR"/>
              </w:rPr>
              <w:t> h </w:t>
            </w:r>
            <w:r w:rsidRPr="00F619BA">
              <w:rPr>
                <w:b/>
                <w:lang w:bidi="fr-FR"/>
              </w:rPr>
              <w:t>20</w:t>
            </w:r>
          </w:p>
        </w:tc>
        <w:tc>
          <w:tcPr>
            <w:tcW w:w="7723" w:type="dxa"/>
            <w:tcBorders>
              <w:top w:val="single" w:sz="6" w:space="0" w:color="CCCCCC"/>
              <w:left w:val="single" w:sz="6" w:space="0" w:color="CCCCCC"/>
              <w:bottom w:val="single" w:sz="6" w:space="0" w:color="CCCCCC"/>
              <w:right w:val="single" w:sz="6" w:space="0" w:color="CCCCCC"/>
            </w:tcBorders>
            <w:tcMar>
              <w:top w:w="120" w:type="dxa"/>
              <w:left w:w="150" w:type="dxa"/>
              <w:bottom w:w="120" w:type="dxa"/>
              <w:right w:w="150" w:type="dxa"/>
            </w:tcMar>
            <w:hideMark/>
          </w:tcPr>
          <w:p w14:paraId="2F656C5B" w14:textId="3BBAE27A" w:rsidR="00F619BA" w:rsidRPr="00F619BA" w:rsidRDefault="00F619BA" w:rsidP="00F619BA">
            <w:r w:rsidRPr="00F619BA">
              <w:rPr>
                <w:b/>
                <w:lang w:bidi="fr-FR"/>
              </w:rPr>
              <w:t>Point</w:t>
            </w:r>
            <w:r w:rsidR="00A63A32">
              <w:rPr>
                <w:b/>
                <w:lang w:bidi="fr-FR"/>
              </w:rPr>
              <w:t> </w:t>
            </w:r>
            <w:r w:rsidRPr="00F619BA">
              <w:rPr>
                <w:b/>
                <w:lang w:bidi="fr-FR"/>
              </w:rPr>
              <w:t>2</w:t>
            </w:r>
            <w:r w:rsidR="00A63A32">
              <w:rPr>
                <w:b/>
                <w:lang w:bidi="fr-FR"/>
              </w:rPr>
              <w:t> </w:t>
            </w:r>
            <w:r w:rsidRPr="00F619BA">
              <w:rPr>
                <w:b/>
                <w:lang w:bidi="fr-FR"/>
              </w:rPr>
              <w:t>: Compte rendu de la réunion précédente</w:t>
            </w:r>
          </w:p>
          <w:p w14:paraId="60FAB9DF" w14:textId="104817E4" w:rsidR="00F619BA" w:rsidRPr="00F619BA" w:rsidRDefault="00F619BA" w:rsidP="00F619BA">
            <w:pPr>
              <w:numPr>
                <w:ilvl w:val="0"/>
                <w:numId w:val="27"/>
              </w:numPr>
            </w:pPr>
            <w:r w:rsidRPr="00F619BA">
              <w:rPr>
                <w:lang w:bidi="fr-FR"/>
              </w:rPr>
              <w:t>Examen et approbation du compte rendu du 25</w:t>
            </w:r>
            <w:r w:rsidR="00A63A32">
              <w:rPr>
                <w:lang w:bidi="fr-FR"/>
              </w:rPr>
              <w:t> </w:t>
            </w:r>
            <w:r w:rsidRPr="00F619BA">
              <w:rPr>
                <w:lang w:bidi="fr-FR"/>
              </w:rPr>
              <w:t>novembre 2025</w:t>
            </w:r>
          </w:p>
          <w:p w14:paraId="0DB97F8C" w14:textId="77777777" w:rsidR="00F619BA" w:rsidRPr="00F619BA" w:rsidRDefault="00F619BA" w:rsidP="00F619BA">
            <w:pPr>
              <w:numPr>
                <w:ilvl w:val="0"/>
                <w:numId w:val="28"/>
              </w:numPr>
            </w:pPr>
            <w:r w:rsidRPr="00F619BA">
              <w:rPr>
                <w:lang w:bidi="fr-FR"/>
              </w:rPr>
              <w:t>Questions découlant du compte rendu</w:t>
            </w:r>
          </w:p>
        </w:tc>
      </w:tr>
      <w:tr w:rsidR="00F619BA" w:rsidRPr="00F619BA" w14:paraId="465C1A46" w14:textId="77777777" w:rsidTr="00F619BA">
        <w:tc>
          <w:tcPr>
            <w:tcW w:w="2050" w:type="dxa"/>
            <w:tcBorders>
              <w:top w:val="single" w:sz="6" w:space="0" w:color="CCCCCC"/>
              <w:left w:val="single" w:sz="6" w:space="0" w:color="CCCCCC"/>
              <w:bottom w:val="single" w:sz="6" w:space="0" w:color="CCCCCC"/>
              <w:right w:val="single" w:sz="6" w:space="0" w:color="CCCCCC"/>
            </w:tcBorders>
            <w:noWrap/>
            <w:tcMar>
              <w:top w:w="120" w:type="dxa"/>
              <w:left w:w="150" w:type="dxa"/>
              <w:bottom w:w="120" w:type="dxa"/>
              <w:right w:w="150" w:type="dxa"/>
            </w:tcMar>
            <w:hideMark/>
          </w:tcPr>
          <w:p w14:paraId="73F89ABA" w14:textId="3CAC2F37" w:rsidR="00F619BA" w:rsidRPr="00F619BA" w:rsidRDefault="00F619BA" w:rsidP="00F619BA">
            <w:pPr>
              <w:rPr>
                <w:b/>
                <w:bCs/>
              </w:rPr>
            </w:pPr>
            <w:r w:rsidRPr="00F619BA">
              <w:rPr>
                <w:b/>
                <w:lang w:bidi="fr-FR"/>
              </w:rPr>
              <w:t>16</w:t>
            </w:r>
            <w:r w:rsidR="00A63A32">
              <w:rPr>
                <w:b/>
                <w:lang w:bidi="fr-FR"/>
              </w:rPr>
              <w:t> h </w:t>
            </w:r>
            <w:r w:rsidRPr="00F619BA">
              <w:rPr>
                <w:b/>
                <w:lang w:bidi="fr-FR"/>
              </w:rPr>
              <w:t>20 – 16</w:t>
            </w:r>
            <w:r w:rsidR="00A63A32">
              <w:rPr>
                <w:b/>
                <w:lang w:bidi="fr-FR"/>
              </w:rPr>
              <w:t> h </w:t>
            </w:r>
            <w:r w:rsidRPr="00F619BA">
              <w:rPr>
                <w:b/>
                <w:lang w:bidi="fr-FR"/>
              </w:rPr>
              <w:t>35</w:t>
            </w:r>
          </w:p>
        </w:tc>
        <w:tc>
          <w:tcPr>
            <w:tcW w:w="7723" w:type="dxa"/>
            <w:tcBorders>
              <w:top w:val="single" w:sz="6" w:space="0" w:color="CCCCCC"/>
              <w:left w:val="single" w:sz="6" w:space="0" w:color="CCCCCC"/>
              <w:bottom w:val="single" w:sz="6" w:space="0" w:color="CCCCCC"/>
              <w:right w:val="single" w:sz="6" w:space="0" w:color="CCCCCC"/>
            </w:tcBorders>
            <w:tcMar>
              <w:top w:w="120" w:type="dxa"/>
              <w:left w:w="150" w:type="dxa"/>
              <w:bottom w:w="120" w:type="dxa"/>
              <w:right w:w="150" w:type="dxa"/>
            </w:tcMar>
            <w:hideMark/>
          </w:tcPr>
          <w:p w14:paraId="2354BC45" w14:textId="10124D6F" w:rsidR="00F619BA" w:rsidRPr="00F619BA" w:rsidRDefault="00F619BA" w:rsidP="00F619BA">
            <w:r w:rsidRPr="00F619BA">
              <w:rPr>
                <w:b/>
                <w:lang w:bidi="fr-FR"/>
              </w:rPr>
              <w:t>Point</w:t>
            </w:r>
            <w:r w:rsidR="00A63A32">
              <w:rPr>
                <w:b/>
                <w:lang w:bidi="fr-FR"/>
              </w:rPr>
              <w:t> </w:t>
            </w:r>
            <w:r w:rsidRPr="00F619BA">
              <w:rPr>
                <w:b/>
                <w:lang w:bidi="fr-FR"/>
              </w:rPr>
              <w:t>3</w:t>
            </w:r>
            <w:r w:rsidR="00A63A32">
              <w:rPr>
                <w:b/>
                <w:lang w:bidi="fr-FR"/>
              </w:rPr>
              <w:t> </w:t>
            </w:r>
            <w:r w:rsidRPr="00F619BA">
              <w:rPr>
                <w:b/>
                <w:lang w:bidi="fr-FR"/>
              </w:rPr>
              <w:t>: Point sur l’organisation de la 5e</w:t>
            </w:r>
            <w:r w:rsidR="00A63A32">
              <w:rPr>
                <w:b/>
                <w:lang w:bidi="fr-FR"/>
              </w:rPr>
              <w:t> </w:t>
            </w:r>
            <w:r w:rsidRPr="00F619BA">
              <w:rPr>
                <w:b/>
                <w:lang w:bidi="fr-FR"/>
              </w:rPr>
              <w:t>réunion de la CPRT (Papouasie</w:t>
            </w:r>
            <w:r w:rsidR="00A63A32">
              <w:rPr>
                <w:b/>
                <w:lang w:bidi="fr-FR"/>
              </w:rPr>
              <w:t>–</w:t>
            </w:r>
            <w:r w:rsidRPr="00F619BA">
              <w:rPr>
                <w:b/>
                <w:lang w:bidi="fr-FR"/>
              </w:rPr>
              <w:t>Nouvelle-Guinée)</w:t>
            </w:r>
          </w:p>
          <w:p w14:paraId="04C76FB9" w14:textId="77777777" w:rsidR="00F619BA" w:rsidRPr="00F619BA" w:rsidRDefault="00F619BA" w:rsidP="00F619BA">
            <w:pPr>
              <w:numPr>
                <w:ilvl w:val="0"/>
                <w:numId w:val="29"/>
              </w:numPr>
            </w:pPr>
            <w:r w:rsidRPr="00F619BA">
              <w:rPr>
                <w:lang w:bidi="fr-FR"/>
              </w:rPr>
              <w:t>Point sur la logistique, la coordination du lieu et les dispositions prises par le pays hôte</w:t>
            </w:r>
          </w:p>
          <w:p w14:paraId="7215B8B6" w14:textId="77777777" w:rsidR="00F619BA" w:rsidRPr="00F619BA" w:rsidRDefault="00F619BA" w:rsidP="00F619BA">
            <w:pPr>
              <w:numPr>
                <w:ilvl w:val="0"/>
                <w:numId w:val="30"/>
              </w:numPr>
            </w:pPr>
            <w:r w:rsidRPr="00F619BA">
              <w:rPr>
                <w:lang w:bidi="fr-FR"/>
              </w:rPr>
              <w:t>Finalisation des dates proposées (provisoirement la dernière semaine d’octobre 2026)</w:t>
            </w:r>
          </w:p>
        </w:tc>
      </w:tr>
      <w:tr w:rsidR="00F619BA" w:rsidRPr="00F619BA" w14:paraId="55B2F957" w14:textId="77777777" w:rsidTr="00F619BA">
        <w:tc>
          <w:tcPr>
            <w:tcW w:w="2050" w:type="dxa"/>
            <w:tcBorders>
              <w:top w:val="single" w:sz="6" w:space="0" w:color="CCCCCC"/>
              <w:left w:val="single" w:sz="6" w:space="0" w:color="CCCCCC"/>
              <w:bottom w:val="single" w:sz="6" w:space="0" w:color="CCCCCC"/>
              <w:right w:val="single" w:sz="6" w:space="0" w:color="CCCCCC"/>
            </w:tcBorders>
            <w:noWrap/>
            <w:tcMar>
              <w:top w:w="120" w:type="dxa"/>
              <w:left w:w="150" w:type="dxa"/>
              <w:bottom w:w="120" w:type="dxa"/>
              <w:right w:w="150" w:type="dxa"/>
            </w:tcMar>
            <w:hideMark/>
          </w:tcPr>
          <w:p w14:paraId="5668C885" w14:textId="11764226" w:rsidR="00F619BA" w:rsidRPr="00F619BA" w:rsidRDefault="00F619BA" w:rsidP="00F619BA">
            <w:pPr>
              <w:rPr>
                <w:b/>
                <w:bCs/>
              </w:rPr>
            </w:pPr>
            <w:r w:rsidRPr="00F619BA">
              <w:rPr>
                <w:b/>
                <w:lang w:bidi="fr-FR"/>
              </w:rPr>
              <w:t>16</w:t>
            </w:r>
            <w:r w:rsidR="00A63A32">
              <w:rPr>
                <w:b/>
                <w:lang w:bidi="fr-FR"/>
              </w:rPr>
              <w:t> h </w:t>
            </w:r>
            <w:r w:rsidRPr="00F619BA">
              <w:rPr>
                <w:b/>
                <w:lang w:bidi="fr-FR"/>
              </w:rPr>
              <w:t>35 – 16</w:t>
            </w:r>
            <w:r w:rsidR="00A63A32">
              <w:rPr>
                <w:b/>
                <w:lang w:bidi="fr-FR"/>
              </w:rPr>
              <w:t> h </w:t>
            </w:r>
            <w:r w:rsidRPr="00F619BA">
              <w:rPr>
                <w:b/>
                <w:lang w:bidi="fr-FR"/>
              </w:rPr>
              <w:t>50</w:t>
            </w:r>
          </w:p>
        </w:tc>
        <w:tc>
          <w:tcPr>
            <w:tcW w:w="7723" w:type="dxa"/>
            <w:tcBorders>
              <w:top w:val="single" w:sz="6" w:space="0" w:color="CCCCCC"/>
              <w:left w:val="single" w:sz="6" w:space="0" w:color="CCCCCC"/>
              <w:bottom w:val="single" w:sz="6" w:space="0" w:color="CCCCCC"/>
              <w:right w:val="single" w:sz="6" w:space="0" w:color="CCCCCC"/>
            </w:tcBorders>
            <w:tcMar>
              <w:top w:w="120" w:type="dxa"/>
              <w:left w:w="150" w:type="dxa"/>
              <w:bottom w:w="120" w:type="dxa"/>
              <w:right w:w="150" w:type="dxa"/>
            </w:tcMar>
            <w:hideMark/>
          </w:tcPr>
          <w:p w14:paraId="0CE16F09" w14:textId="63BA1F5E" w:rsidR="00F619BA" w:rsidRPr="00F619BA" w:rsidRDefault="00F619BA" w:rsidP="00F619BA">
            <w:r w:rsidRPr="00F619BA">
              <w:rPr>
                <w:b/>
                <w:lang w:bidi="fr-FR"/>
              </w:rPr>
              <w:t>Point</w:t>
            </w:r>
            <w:r w:rsidR="00A63A32">
              <w:rPr>
                <w:b/>
                <w:lang w:bidi="fr-FR"/>
              </w:rPr>
              <w:t> </w:t>
            </w:r>
            <w:r w:rsidRPr="00F619BA">
              <w:rPr>
                <w:b/>
                <w:lang w:bidi="fr-FR"/>
              </w:rPr>
              <w:t>4</w:t>
            </w:r>
            <w:r w:rsidR="00A63A32">
              <w:rPr>
                <w:b/>
                <w:lang w:bidi="fr-FR"/>
              </w:rPr>
              <w:t> </w:t>
            </w:r>
            <w:r w:rsidRPr="00F619BA">
              <w:rPr>
                <w:b/>
                <w:lang w:bidi="fr-FR"/>
              </w:rPr>
              <w:t>: Questions de gouvernance</w:t>
            </w:r>
          </w:p>
          <w:p w14:paraId="3F6D6225" w14:textId="77777777" w:rsidR="00F619BA" w:rsidRPr="00F619BA" w:rsidRDefault="00F619BA" w:rsidP="00F619BA">
            <w:pPr>
              <w:numPr>
                <w:ilvl w:val="0"/>
                <w:numId w:val="31"/>
              </w:numPr>
            </w:pPr>
            <w:r w:rsidRPr="00F619BA">
              <w:rPr>
                <w:lang w:bidi="fr-FR"/>
              </w:rPr>
              <w:t>Examen des termes de référence (TdR) mis à jour</w:t>
            </w:r>
          </w:p>
          <w:p w14:paraId="625AEFEB" w14:textId="45AA1012" w:rsidR="00F619BA" w:rsidRPr="00F619BA" w:rsidRDefault="00F619BA" w:rsidP="00F619BA">
            <w:pPr>
              <w:numPr>
                <w:ilvl w:val="0"/>
                <w:numId w:val="32"/>
              </w:numPr>
            </w:pPr>
            <w:r w:rsidRPr="00F619BA">
              <w:rPr>
                <w:lang w:bidi="fr-FR"/>
              </w:rPr>
              <w:t>Confirmation de la définition officielle de «</w:t>
            </w:r>
            <w:r w:rsidR="00A63A32">
              <w:rPr>
                <w:lang w:bidi="fr-FR"/>
              </w:rPr>
              <w:t> </w:t>
            </w:r>
            <w:proofErr w:type="spellStart"/>
            <w:r w:rsidRPr="00F619BA">
              <w:rPr>
                <w:lang w:bidi="fr-FR"/>
              </w:rPr>
              <w:t>PICTs</w:t>
            </w:r>
            <w:proofErr w:type="spellEnd"/>
            <w:r w:rsidR="00A63A32">
              <w:rPr>
                <w:lang w:bidi="fr-FR"/>
              </w:rPr>
              <w:t> </w:t>
            </w:r>
            <w:r w:rsidRPr="00F619BA">
              <w:rPr>
                <w:lang w:bidi="fr-FR"/>
              </w:rPr>
              <w:t xml:space="preserve">» dans les </w:t>
            </w:r>
            <w:proofErr w:type="spellStart"/>
            <w:r w:rsidRPr="00F619BA">
              <w:rPr>
                <w:lang w:bidi="fr-FR"/>
              </w:rPr>
              <w:t>TdR</w:t>
            </w:r>
            <w:proofErr w:type="spellEnd"/>
          </w:p>
        </w:tc>
      </w:tr>
      <w:tr w:rsidR="00F619BA" w:rsidRPr="00F619BA" w14:paraId="6D2DB0DB" w14:textId="77777777" w:rsidTr="00F619BA">
        <w:tc>
          <w:tcPr>
            <w:tcW w:w="2050" w:type="dxa"/>
            <w:tcBorders>
              <w:top w:val="single" w:sz="6" w:space="0" w:color="CCCCCC"/>
              <w:left w:val="single" w:sz="6" w:space="0" w:color="CCCCCC"/>
              <w:bottom w:val="single" w:sz="6" w:space="0" w:color="CCCCCC"/>
              <w:right w:val="single" w:sz="6" w:space="0" w:color="CCCCCC"/>
            </w:tcBorders>
            <w:noWrap/>
            <w:tcMar>
              <w:top w:w="120" w:type="dxa"/>
              <w:left w:w="150" w:type="dxa"/>
              <w:bottom w:w="120" w:type="dxa"/>
              <w:right w:w="150" w:type="dxa"/>
            </w:tcMar>
            <w:hideMark/>
          </w:tcPr>
          <w:p w14:paraId="4E1458D2" w14:textId="50C29DCB" w:rsidR="00F619BA" w:rsidRPr="00F619BA" w:rsidRDefault="00F619BA" w:rsidP="00F619BA">
            <w:pPr>
              <w:rPr>
                <w:b/>
                <w:bCs/>
              </w:rPr>
            </w:pPr>
            <w:r w:rsidRPr="00F619BA">
              <w:rPr>
                <w:b/>
                <w:lang w:bidi="fr-FR"/>
              </w:rPr>
              <w:t>16</w:t>
            </w:r>
            <w:r w:rsidR="00A63A32">
              <w:rPr>
                <w:b/>
                <w:lang w:bidi="fr-FR"/>
              </w:rPr>
              <w:t> h </w:t>
            </w:r>
            <w:r w:rsidRPr="00F619BA">
              <w:rPr>
                <w:b/>
                <w:lang w:bidi="fr-FR"/>
              </w:rPr>
              <w:t>50 – 17</w:t>
            </w:r>
            <w:r w:rsidR="00A63A32">
              <w:rPr>
                <w:b/>
                <w:lang w:bidi="fr-FR"/>
              </w:rPr>
              <w:t> h </w:t>
            </w:r>
            <w:r w:rsidRPr="00F619BA">
              <w:rPr>
                <w:b/>
                <w:lang w:bidi="fr-FR"/>
              </w:rPr>
              <w:t>20</w:t>
            </w:r>
          </w:p>
        </w:tc>
        <w:tc>
          <w:tcPr>
            <w:tcW w:w="7723" w:type="dxa"/>
            <w:tcBorders>
              <w:top w:val="single" w:sz="6" w:space="0" w:color="CCCCCC"/>
              <w:left w:val="single" w:sz="6" w:space="0" w:color="CCCCCC"/>
              <w:bottom w:val="single" w:sz="6" w:space="0" w:color="CCCCCC"/>
              <w:right w:val="single" w:sz="6" w:space="0" w:color="CCCCCC"/>
            </w:tcBorders>
            <w:tcMar>
              <w:top w:w="120" w:type="dxa"/>
              <w:left w:w="150" w:type="dxa"/>
              <w:bottom w:w="120" w:type="dxa"/>
              <w:right w:w="150" w:type="dxa"/>
            </w:tcMar>
            <w:hideMark/>
          </w:tcPr>
          <w:p w14:paraId="7DA03E70" w14:textId="4C74CED2" w:rsidR="00F619BA" w:rsidRPr="00F619BA" w:rsidRDefault="00F619BA" w:rsidP="00F619BA">
            <w:r w:rsidRPr="00F619BA">
              <w:rPr>
                <w:b/>
                <w:lang w:bidi="fr-FR"/>
              </w:rPr>
              <w:t>Point</w:t>
            </w:r>
            <w:r w:rsidR="00A63A32">
              <w:rPr>
                <w:b/>
                <w:lang w:bidi="fr-FR"/>
              </w:rPr>
              <w:t> </w:t>
            </w:r>
            <w:r w:rsidRPr="00F619BA">
              <w:rPr>
                <w:b/>
                <w:lang w:bidi="fr-FR"/>
              </w:rPr>
              <w:t>5</w:t>
            </w:r>
            <w:r w:rsidR="00A63A32">
              <w:rPr>
                <w:b/>
                <w:lang w:bidi="fr-FR"/>
              </w:rPr>
              <w:t> </w:t>
            </w:r>
            <w:r w:rsidRPr="00F619BA">
              <w:rPr>
                <w:b/>
                <w:lang w:bidi="fr-FR"/>
              </w:rPr>
              <w:t>: Développement stratégique</w:t>
            </w:r>
            <w:r w:rsidR="00A63A32">
              <w:rPr>
                <w:b/>
                <w:lang w:bidi="fr-FR"/>
              </w:rPr>
              <w:t> </w:t>
            </w:r>
            <w:r w:rsidRPr="00F619BA">
              <w:rPr>
                <w:b/>
                <w:lang w:bidi="fr-FR"/>
              </w:rPr>
              <w:t>: Cleaner Pacific 2036 (CP2036)</w:t>
            </w:r>
          </w:p>
          <w:p w14:paraId="078839D7" w14:textId="77777777" w:rsidR="00F619BA" w:rsidRPr="00F619BA" w:rsidRDefault="00F619BA" w:rsidP="00F619BA">
            <w:pPr>
              <w:numPr>
                <w:ilvl w:val="0"/>
                <w:numId w:val="33"/>
              </w:numPr>
            </w:pPr>
            <w:r w:rsidRPr="00F619BA">
              <w:rPr>
                <w:lang w:bidi="fr-FR"/>
              </w:rPr>
              <w:t>Point sur l’avancement de la rédaction en interne</w:t>
            </w:r>
          </w:p>
          <w:p w14:paraId="101F96FE" w14:textId="30D3E820" w:rsidR="00F619BA" w:rsidRPr="00F619BA" w:rsidRDefault="00F619BA" w:rsidP="00F619BA">
            <w:pPr>
              <w:numPr>
                <w:ilvl w:val="0"/>
                <w:numId w:val="34"/>
              </w:numPr>
            </w:pPr>
            <w:r w:rsidRPr="00F619BA">
              <w:rPr>
                <w:lang w:bidi="fr-FR"/>
              </w:rPr>
              <w:t>Présentation de la version zéro et du cadre MEL (suivi, évaluation et apprentissage) (livrable</w:t>
            </w:r>
            <w:r w:rsidR="00A63A32">
              <w:rPr>
                <w:lang w:bidi="fr-FR"/>
              </w:rPr>
              <w:t> </w:t>
            </w:r>
            <w:r w:rsidRPr="00F619BA">
              <w:rPr>
                <w:lang w:bidi="fr-FR"/>
              </w:rPr>
              <w:t>T1 2026)</w:t>
            </w:r>
          </w:p>
          <w:p w14:paraId="26F0565B" w14:textId="77777777" w:rsidR="00F619BA" w:rsidRPr="00F619BA" w:rsidRDefault="00F619BA" w:rsidP="00F619BA">
            <w:pPr>
              <w:numPr>
                <w:ilvl w:val="0"/>
                <w:numId w:val="35"/>
              </w:numPr>
            </w:pPr>
            <w:r w:rsidRPr="00F619BA">
              <w:rPr>
                <w:lang w:bidi="fr-FR"/>
              </w:rPr>
              <w:lastRenderedPageBreak/>
              <w:t>Consultation sur le projet de cadre régional de suivi-évaluation et de gestion des données</w:t>
            </w:r>
          </w:p>
        </w:tc>
      </w:tr>
      <w:tr w:rsidR="00F619BA" w:rsidRPr="00F619BA" w14:paraId="6A28F893" w14:textId="77777777" w:rsidTr="00F619BA">
        <w:tc>
          <w:tcPr>
            <w:tcW w:w="2050" w:type="dxa"/>
            <w:tcBorders>
              <w:top w:val="single" w:sz="6" w:space="0" w:color="CCCCCC"/>
              <w:left w:val="single" w:sz="6" w:space="0" w:color="CCCCCC"/>
              <w:bottom w:val="single" w:sz="6" w:space="0" w:color="CCCCCC"/>
              <w:right w:val="single" w:sz="6" w:space="0" w:color="CCCCCC"/>
            </w:tcBorders>
            <w:noWrap/>
            <w:tcMar>
              <w:top w:w="120" w:type="dxa"/>
              <w:left w:w="150" w:type="dxa"/>
              <w:bottom w:w="120" w:type="dxa"/>
              <w:right w:w="150" w:type="dxa"/>
            </w:tcMar>
            <w:hideMark/>
          </w:tcPr>
          <w:p w14:paraId="0CE6AC8F" w14:textId="612D03EB" w:rsidR="00F619BA" w:rsidRPr="00F619BA" w:rsidRDefault="00F619BA" w:rsidP="00F619BA">
            <w:pPr>
              <w:rPr>
                <w:b/>
                <w:bCs/>
              </w:rPr>
            </w:pPr>
            <w:r w:rsidRPr="00F619BA">
              <w:rPr>
                <w:b/>
                <w:lang w:bidi="fr-FR"/>
              </w:rPr>
              <w:lastRenderedPageBreak/>
              <w:t>17</w:t>
            </w:r>
            <w:r w:rsidR="00A63A32">
              <w:rPr>
                <w:b/>
                <w:lang w:bidi="fr-FR"/>
              </w:rPr>
              <w:t> h </w:t>
            </w:r>
            <w:r w:rsidRPr="00F619BA">
              <w:rPr>
                <w:b/>
                <w:lang w:bidi="fr-FR"/>
              </w:rPr>
              <w:t>20 – 17</w:t>
            </w:r>
            <w:r w:rsidR="00A63A32">
              <w:rPr>
                <w:b/>
                <w:lang w:bidi="fr-FR"/>
              </w:rPr>
              <w:t> h </w:t>
            </w:r>
            <w:r w:rsidRPr="00F619BA">
              <w:rPr>
                <w:b/>
                <w:lang w:bidi="fr-FR"/>
              </w:rPr>
              <w:t>30</w:t>
            </w:r>
          </w:p>
        </w:tc>
        <w:tc>
          <w:tcPr>
            <w:tcW w:w="7723" w:type="dxa"/>
            <w:tcBorders>
              <w:top w:val="single" w:sz="6" w:space="0" w:color="CCCCCC"/>
              <w:left w:val="single" w:sz="6" w:space="0" w:color="CCCCCC"/>
              <w:bottom w:val="single" w:sz="6" w:space="0" w:color="CCCCCC"/>
              <w:right w:val="single" w:sz="6" w:space="0" w:color="CCCCCC"/>
            </w:tcBorders>
            <w:tcMar>
              <w:top w:w="120" w:type="dxa"/>
              <w:left w:w="150" w:type="dxa"/>
              <w:bottom w:w="120" w:type="dxa"/>
              <w:right w:w="150" w:type="dxa"/>
            </w:tcMar>
            <w:hideMark/>
          </w:tcPr>
          <w:p w14:paraId="0876AC1D" w14:textId="049C063B" w:rsidR="00F619BA" w:rsidRPr="00F619BA" w:rsidRDefault="00F619BA" w:rsidP="00F619BA">
            <w:r w:rsidRPr="00F619BA">
              <w:rPr>
                <w:b/>
                <w:lang w:bidi="fr-FR"/>
              </w:rPr>
              <w:t>Point</w:t>
            </w:r>
            <w:r w:rsidR="00A63A32">
              <w:rPr>
                <w:b/>
                <w:lang w:bidi="fr-FR"/>
              </w:rPr>
              <w:t> </w:t>
            </w:r>
            <w:r w:rsidRPr="00F619BA">
              <w:rPr>
                <w:b/>
                <w:lang w:bidi="fr-FR"/>
              </w:rPr>
              <w:t>6</w:t>
            </w:r>
            <w:r w:rsidR="00A63A32">
              <w:rPr>
                <w:b/>
                <w:lang w:bidi="fr-FR"/>
              </w:rPr>
              <w:t> </w:t>
            </w:r>
            <w:r w:rsidRPr="00F619BA">
              <w:rPr>
                <w:b/>
                <w:lang w:bidi="fr-FR"/>
              </w:rPr>
              <w:t>: Questions diverses et clôture</w:t>
            </w:r>
          </w:p>
          <w:p w14:paraId="4BB596EC" w14:textId="77777777" w:rsidR="00F619BA" w:rsidRPr="00F619BA" w:rsidRDefault="00F619BA" w:rsidP="00F619BA">
            <w:pPr>
              <w:numPr>
                <w:ilvl w:val="0"/>
                <w:numId w:val="36"/>
              </w:numPr>
            </w:pPr>
            <w:r w:rsidRPr="00F619BA">
              <w:rPr>
                <w:lang w:bidi="fr-FR"/>
              </w:rPr>
              <w:t>Divers</w:t>
            </w:r>
          </w:p>
          <w:p w14:paraId="106BB307" w14:textId="77777777" w:rsidR="00F619BA" w:rsidRPr="00F619BA" w:rsidRDefault="00F619BA" w:rsidP="00F619BA">
            <w:pPr>
              <w:numPr>
                <w:ilvl w:val="0"/>
                <w:numId w:val="37"/>
              </w:numPr>
            </w:pPr>
            <w:r w:rsidRPr="00F619BA">
              <w:rPr>
                <w:lang w:bidi="fr-FR"/>
              </w:rPr>
              <w:t>Date et lieu de la prochaine réunion</w:t>
            </w:r>
          </w:p>
          <w:p w14:paraId="0EBFDE79" w14:textId="77777777" w:rsidR="00F619BA" w:rsidRPr="00F619BA" w:rsidRDefault="00F619BA" w:rsidP="00F619BA">
            <w:pPr>
              <w:numPr>
                <w:ilvl w:val="0"/>
                <w:numId w:val="38"/>
              </w:numPr>
            </w:pPr>
            <w:r w:rsidRPr="00F619BA">
              <w:rPr>
                <w:lang w:bidi="fr-FR"/>
              </w:rPr>
              <w:t>Clôture de la réunion</w:t>
            </w:r>
          </w:p>
          <w:p w14:paraId="71C69402" w14:textId="77777777" w:rsidR="00F619BA" w:rsidRPr="00F619BA" w:rsidRDefault="00F619BA" w:rsidP="00F619BA">
            <w:pPr>
              <w:rPr>
                <w:i/>
                <w:iCs/>
              </w:rPr>
            </w:pPr>
            <w:r w:rsidRPr="00F619BA">
              <w:rPr>
                <w:b/>
                <w:i/>
                <w:lang w:bidi="fr-FR"/>
              </w:rPr>
              <w:t>Remarque :</w:t>
            </w:r>
            <w:r w:rsidRPr="00F619BA">
              <w:rPr>
                <w:i/>
                <w:lang w:bidi="fr-FR"/>
              </w:rPr>
              <w:t> Cette réunion se tiendra en format hybride. Les participants en ligne se joindront via un lien Microsoft Teams/Zoom transmis par e-mail avant la réunion.</w:t>
            </w:r>
          </w:p>
        </w:tc>
      </w:tr>
    </w:tbl>
    <w:p w14:paraId="40D51650" w14:textId="77777777" w:rsidR="00F619BA" w:rsidRPr="00F619BA" w:rsidRDefault="00F619BA" w:rsidP="00F619BA">
      <w:pPr>
        <w:rPr>
          <w:b/>
          <w:bCs/>
        </w:rPr>
      </w:pPr>
      <w:r w:rsidRPr="00F619BA">
        <w:rPr>
          <w:b/>
          <w:lang w:bidi="fr-FR"/>
        </w:rPr>
        <w:t>3. Participants et attentes</w:t>
      </w:r>
    </w:p>
    <w:p w14:paraId="49C5DF04" w14:textId="2DB2003F" w:rsidR="00F619BA" w:rsidRPr="00F619BA" w:rsidRDefault="00F619BA" w:rsidP="00F619BA">
      <w:r w:rsidRPr="00F619BA">
        <w:rPr>
          <w:b/>
          <w:lang w:bidi="fr-FR"/>
        </w:rPr>
        <w:t>Participants :</w:t>
      </w:r>
      <w:r w:rsidRPr="00F619BA">
        <w:rPr>
          <w:lang w:bidi="fr-FR"/>
        </w:rPr>
        <w:t> Ce programme s’adresse aux principales parties prenantes suivantes parmi les membres du PROE</w:t>
      </w:r>
      <w:r w:rsidR="00A63A32">
        <w:rPr>
          <w:lang w:bidi="fr-FR"/>
        </w:rPr>
        <w:t> </w:t>
      </w:r>
      <w:r w:rsidRPr="00F619BA">
        <w:rPr>
          <w:lang w:bidi="fr-FR"/>
        </w:rPr>
        <w:t>:</w:t>
      </w:r>
    </w:p>
    <w:p w14:paraId="47098221" w14:textId="77777777" w:rsidR="00F619BA" w:rsidRPr="00F619BA" w:rsidRDefault="00F619BA" w:rsidP="00F619BA">
      <w:pPr>
        <w:numPr>
          <w:ilvl w:val="0"/>
          <w:numId w:val="39"/>
        </w:numPr>
      </w:pPr>
      <w:r w:rsidRPr="00F619BA">
        <w:rPr>
          <w:lang w:bidi="fr-FR"/>
        </w:rPr>
        <w:t>Points focaux techniques du Pacific GEF ISLANDS (directeurs/chefs des services nationaux de gestion des déchets)</w:t>
      </w:r>
    </w:p>
    <w:p w14:paraId="52D2187C" w14:textId="77777777" w:rsidR="00F619BA" w:rsidRPr="00F619BA" w:rsidRDefault="00F619BA" w:rsidP="00F619BA">
      <w:pPr>
        <w:numPr>
          <w:ilvl w:val="0"/>
          <w:numId w:val="40"/>
        </w:numPr>
      </w:pPr>
      <w:r w:rsidRPr="00F619BA">
        <w:rPr>
          <w:lang w:bidi="fr-FR"/>
        </w:rPr>
        <w:t>Membres du comité directeur de la table ronde Cleaner Pacific (CPRT) des PICTs</w:t>
      </w:r>
    </w:p>
    <w:p w14:paraId="6102277C" w14:textId="77777777" w:rsidR="00F619BA" w:rsidRPr="00F619BA" w:rsidRDefault="00F619BA" w:rsidP="00F619BA">
      <w:pPr>
        <w:numPr>
          <w:ilvl w:val="0"/>
          <w:numId w:val="41"/>
        </w:numPr>
      </w:pPr>
      <w:r w:rsidRPr="00F619BA">
        <w:rPr>
          <w:lang w:bidi="fr-FR"/>
        </w:rPr>
        <w:t>Représentants des ministères chargés des affaires féminines</w:t>
      </w:r>
    </w:p>
    <w:p w14:paraId="2AB1A31B" w14:textId="77777777" w:rsidR="00F619BA" w:rsidRPr="00F619BA" w:rsidRDefault="00F619BA" w:rsidP="00F619BA">
      <w:pPr>
        <w:numPr>
          <w:ilvl w:val="0"/>
          <w:numId w:val="42"/>
        </w:numPr>
      </w:pPr>
      <w:r w:rsidRPr="00F619BA">
        <w:rPr>
          <w:lang w:bidi="fr-FR"/>
        </w:rPr>
        <w:t>Principaux partenaires régionaux et agences de développement</w:t>
      </w:r>
    </w:p>
    <w:p w14:paraId="7BCAFB3A" w14:textId="0B20CD45" w:rsidR="00F619BA" w:rsidRPr="00F619BA" w:rsidRDefault="00F619BA" w:rsidP="00F619BA">
      <w:r w:rsidRPr="00F619BA">
        <w:rPr>
          <w:b/>
          <w:lang w:bidi="fr-FR"/>
        </w:rPr>
        <w:t>Résultats attendus</w:t>
      </w:r>
      <w:r w:rsidR="00A63A32">
        <w:rPr>
          <w:b/>
          <w:lang w:bidi="fr-FR"/>
        </w:rPr>
        <w:t> </w:t>
      </w:r>
      <w:r w:rsidRPr="00F619BA">
        <w:rPr>
          <w:b/>
          <w:lang w:bidi="fr-FR"/>
        </w:rPr>
        <w:t>:</w:t>
      </w:r>
    </w:p>
    <w:p w14:paraId="3514D7A8" w14:textId="776CDF11" w:rsidR="00F619BA" w:rsidRPr="00F619BA" w:rsidRDefault="00F619BA" w:rsidP="00F619BA">
      <w:pPr>
        <w:numPr>
          <w:ilvl w:val="0"/>
          <w:numId w:val="43"/>
        </w:numPr>
      </w:pPr>
      <w:r w:rsidRPr="00F619BA">
        <w:rPr>
          <w:b/>
          <w:lang w:bidi="fr-FR"/>
        </w:rPr>
        <w:t>PacWiCE : </w:t>
      </w:r>
      <w:r w:rsidRPr="00F619BA">
        <w:rPr>
          <w:lang w:bidi="fr-FR"/>
        </w:rPr>
        <w:t>Mise en place d’une structure de gouvernance fonctionnelle pour le réseau PacWiCE avec des points focaux désignés, un cadre opérationnel clair fondé sur les bonnes pratiques de réseaux régionaux performants, et une feuille de route de mise en œuvre opérationnelle permettant une une collaboration régionale durable entre les femmes du Pacifique spécialisées dans l</w:t>
      </w:r>
      <w:r w:rsidR="00A63A32">
        <w:rPr>
          <w:lang w:bidi="fr-FR"/>
        </w:rPr>
        <w:t>’</w:t>
      </w:r>
      <w:r w:rsidRPr="00F619BA">
        <w:rPr>
          <w:lang w:bidi="fr-FR"/>
        </w:rPr>
        <w:t>économie circulaire.</w:t>
      </w:r>
    </w:p>
    <w:p w14:paraId="7BA21DF8" w14:textId="702AF4C2" w:rsidR="00F619BA" w:rsidRPr="00F619BA" w:rsidRDefault="00F619BA" w:rsidP="00F619BA">
      <w:pPr>
        <w:numPr>
          <w:ilvl w:val="0"/>
          <w:numId w:val="44"/>
        </w:numPr>
      </w:pPr>
      <w:r w:rsidRPr="00F619BA">
        <w:rPr>
          <w:b/>
          <w:lang w:bidi="fr-FR"/>
        </w:rPr>
        <w:t>Cleaner Pacific Roundtable (Table ronde pour un Pacifique plus propre) :</w:t>
      </w:r>
      <w:r w:rsidRPr="00F619BA">
        <w:rPr>
          <w:lang w:bidi="fr-FR"/>
        </w:rPr>
        <w:t> Approbation des comptes rendus précédents, confirmation des dispositions prises par le pays hôte pour la 5e</w:t>
      </w:r>
      <w:r w:rsidR="00A63A32">
        <w:rPr>
          <w:lang w:bidi="fr-FR"/>
        </w:rPr>
        <w:t> </w:t>
      </w:r>
      <w:r w:rsidRPr="00F619BA">
        <w:rPr>
          <w:lang w:bidi="fr-FR"/>
        </w:rPr>
        <w:t>réunion de la CPRT en Papouasie</w:t>
      </w:r>
      <w:r w:rsidR="00A63A32">
        <w:rPr>
          <w:lang w:bidi="fr-FR"/>
        </w:rPr>
        <w:t>–</w:t>
      </w:r>
      <w:r w:rsidRPr="00F619BA">
        <w:rPr>
          <w:lang w:bidi="fr-FR"/>
        </w:rPr>
        <w:t>Nouvelle-Guinée (octobre 2026), approbation des termes de référence (TdR) mis à jour, et consensus sur l’orientation stratégique de Cleaner Pacific</w:t>
      </w:r>
      <w:r w:rsidR="00A63A32">
        <w:rPr>
          <w:lang w:bidi="fr-FR"/>
        </w:rPr>
        <w:t> </w:t>
      </w:r>
      <w:r w:rsidRPr="00F619BA">
        <w:rPr>
          <w:lang w:bidi="fr-FR"/>
        </w:rPr>
        <w:t>2036 et le cadre MEL.</w:t>
      </w:r>
    </w:p>
    <w:p w14:paraId="1564C069" w14:textId="0AB151B4" w:rsidR="00F619BA" w:rsidRPr="00F619BA" w:rsidRDefault="00F619BA" w:rsidP="00F619BA">
      <w:r w:rsidRPr="00F619BA">
        <w:rPr>
          <w:b/>
          <w:lang w:bidi="fr-FR"/>
        </w:rPr>
        <w:t>Informations de contact</w:t>
      </w:r>
      <w:r w:rsidR="00A63A32">
        <w:rPr>
          <w:b/>
          <w:lang w:bidi="fr-FR"/>
        </w:rPr>
        <w:t> </w:t>
      </w:r>
      <w:r w:rsidRPr="00F619BA">
        <w:rPr>
          <w:b/>
          <w:lang w:bidi="fr-FR"/>
        </w:rPr>
        <w:t>:</w:t>
      </w:r>
      <w:r w:rsidRPr="00F619BA">
        <w:rPr>
          <w:lang w:bidi="fr-FR"/>
        </w:rPr>
        <w:br/>
        <w:t>Programme de gestion des déchets et de lutte contre la pollution</w:t>
      </w:r>
      <w:r w:rsidRPr="00F619BA">
        <w:rPr>
          <w:lang w:bidi="fr-FR"/>
        </w:rPr>
        <w:br/>
        <w:t>Programme régional océanien de l</w:t>
      </w:r>
      <w:r w:rsidR="00A63A32">
        <w:rPr>
          <w:lang w:bidi="fr-FR"/>
        </w:rPr>
        <w:t>’</w:t>
      </w:r>
      <w:r w:rsidRPr="00F619BA">
        <w:rPr>
          <w:lang w:bidi="fr-FR"/>
        </w:rPr>
        <w:t>environnement (PROE)</w:t>
      </w:r>
      <w:r w:rsidRPr="00F619BA">
        <w:rPr>
          <w:lang w:bidi="fr-FR"/>
        </w:rPr>
        <w:br/>
        <w:t>PO Box</w:t>
      </w:r>
      <w:r w:rsidR="00A63A32">
        <w:rPr>
          <w:lang w:bidi="fr-FR"/>
        </w:rPr>
        <w:t> </w:t>
      </w:r>
      <w:r w:rsidRPr="00F619BA">
        <w:rPr>
          <w:lang w:bidi="fr-FR"/>
        </w:rPr>
        <w:t>240, Apia, Samoa | +685 21929 | </w:t>
      </w:r>
      <w:hyperlink r:id="rId5" w:history="1">
        <w:r w:rsidRPr="00F619BA">
          <w:rPr>
            <w:rStyle w:val="Hyperlink"/>
            <w:lang w:bidi="fr-FR"/>
          </w:rPr>
          <w:t>susanat@sprep.org</w:t>
        </w:r>
      </w:hyperlink>
      <w:r w:rsidRPr="00F619BA">
        <w:rPr>
          <w:lang w:bidi="fr-FR"/>
        </w:rPr>
        <w:t> | </w:t>
      </w:r>
      <w:hyperlink r:id="rId6" w:history="1">
        <w:r w:rsidRPr="00F619BA">
          <w:rPr>
            <w:rStyle w:val="Hyperlink"/>
            <w:lang w:bidi="fr-FR"/>
          </w:rPr>
          <w:t>davinat@sprep.org</w:t>
        </w:r>
      </w:hyperlink>
    </w:p>
    <w:p w14:paraId="553645CC" w14:textId="6DF0B038" w:rsidR="00F619BA" w:rsidRPr="00F619BA" w:rsidRDefault="00F619BA" w:rsidP="00F619BA">
      <w:r w:rsidRPr="00F619BA">
        <w:rPr>
          <w:i/>
          <w:lang w:bidi="fr-FR"/>
        </w:rPr>
        <w:t>«</w:t>
      </w:r>
      <w:r w:rsidR="00A63A32">
        <w:rPr>
          <w:i/>
          <w:lang w:bidi="fr-FR"/>
        </w:rPr>
        <w:t> U</w:t>
      </w:r>
      <w:r w:rsidRPr="00F619BA">
        <w:rPr>
          <w:i/>
          <w:lang w:bidi="fr-FR"/>
        </w:rPr>
        <w:t>n environnement résilient au sein de la région Pacifique, assurant la pérennité de nos moyens de subsistance et de notre patrimoine naturel, dans le respect de nos cultures.</w:t>
      </w:r>
      <w:r w:rsidR="00A63A32">
        <w:rPr>
          <w:i/>
          <w:lang w:bidi="fr-FR"/>
        </w:rPr>
        <w:t> »</w:t>
      </w:r>
    </w:p>
    <w:p w14:paraId="5ACFD588" w14:textId="77777777" w:rsidR="006C2D49" w:rsidRDefault="006C2D49"/>
    <w:sectPr w:rsidR="006C2D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971D3"/>
    <w:multiLevelType w:val="multilevel"/>
    <w:tmpl w:val="04BC0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9B4E38"/>
    <w:multiLevelType w:val="multilevel"/>
    <w:tmpl w:val="DD161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702763"/>
    <w:multiLevelType w:val="multilevel"/>
    <w:tmpl w:val="87D8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023FC0"/>
    <w:multiLevelType w:val="multilevel"/>
    <w:tmpl w:val="C0D8B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394AF7"/>
    <w:multiLevelType w:val="multilevel"/>
    <w:tmpl w:val="3DC06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6B1C0C"/>
    <w:multiLevelType w:val="multilevel"/>
    <w:tmpl w:val="6AE66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715085"/>
    <w:multiLevelType w:val="multilevel"/>
    <w:tmpl w:val="96189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5B0002"/>
    <w:multiLevelType w:val="multilevel"/>
    <w:tmpl w:val="EC842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3C1FAB"/>
    <w:multiLevelType w:val="multilevel"/>
    <w:tmpl w:val="3A702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CF76D4"/>
    <w:multiLevelType w:val="multilevel"/>
    <w:tmpl w:val="CA4A1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FB692F"/>
    <w:multiLevelType w:val="multilevel"/>
    <w:tmpl w:val="0FB03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6B1774"/>
    <w:multiLevelType w:val="multilevel"/>
    <w:tmpl w:val="FF8C2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FC1251"/>
    <w:multiLevelType w:val="multilevel"/>
    <w:tmpl w:val="E26CD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6A76B3"/>
    <w:multiLevelType w:val="multilevel"/>
    <w:tmpl w:val="15801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0A265F"/>
    <w:multiLevelType w:val="multilevel"/>
    <w:tmpl w:val="A490B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0920532">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 w16cid:durableId="222717788">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3" w16cid:durableId="924649359">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4" w16cid:durableId="2146315944">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5" w16cid:durableId="1092817005">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6" w16cid:durableId="120398393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7" w16cid:durableId="467161633">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8" w16cid:durableId="86658737">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9" w16cid:durableId="1775973529">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10" w16cid:durableId="1374188659">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1" w16cid:durableId="818425265">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2" w16cid:durableId="282005966">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3" w16cid:durableId="1826893790">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4" w16cid:durableId="1505704231">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5" w16cid:durableId="1772699900">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6" w16cid:durableId="1545943510">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7" w16cid:durableId="460729972">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18" w16cid:durableId="1892422747">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19" w16cid:durableId="1397699561">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0" w16cid:durableId="2061896287">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21" w16cid:durableId="183713288">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22" w16cid:durableId="1025329673">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23" w16cid:durableId="2055040945">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24" w16cid:durableId="758058742">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5" w16cid:durableId="2023969665">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6" w16cid:durableId="144434856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7" w16cid:durableId="1452896322">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28" w16cid:durableId="293872715">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29" w16cid:durableId="1248608971">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30" w16cid:durableId="1378355482">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31" w16cid:durableId="1523977343">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32" w16cid:durableId="451218502">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33" w16cid:durableId="123485149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34" w16cid:durableId="292516839">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35" w16cid:durableId="457065618">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36" w16cid:durableId="840777308">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37" w16cid:durableId="1894926648">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38" w16cid:durableId="220213921">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39" w16cid:durableId="659505920">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40" w16cid:durableId="189417859">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41" w16cid:durableId="1206715185">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42" w16cid:durableId="2082435818">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43" w16cid:durableId="1121144879">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44" w16cid:durableId="596720372">
    <w:abstractNumId w:val="2"/>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9BA"/>
    <w:rsid w:val="001206A7"/>
    <w:rsid w:val="00196B1C"/>
    <w:rsid w:val="001A6F4D"/>
    <w:rsid w:val="001C790E"/>
    <w:rsid w:val="00290F07"/>
    <w:rsid w:val="002B474B"/>
    <w:rsid w:val="00464F73"/>
    <w:rsid w:val="004B399E"/>
    <w:rsid w:val="004C6F54"/>
    <w:rsid w:val="00510698"/>
    <w:rsid w:val="00635E60"/>
    <w:rsid w:val="00646FA4"/>
    <w:rsid w:val="006C2D49"/>
    <w:rsid w:val="00723F7E"/>
    <w:rsid w:val="007C4A32"/>
    <w:rsid w:val="008B496E"/>
    <w:rsid w:val="00951771"/>
    <w:rsid w:val="0098021B"/>
    <w:rsid w:val="00996AD5"/>
    <w:rsid w:val="009A18C5"/>
    <w:rsid w:val="009A222C"/>
    <w:rsid w:val="009A68FE"/>
    <w:rsid w:val="00A63A32"/>
    <w:rsid w:val="00A819A8"/>
    <w:rsid w:val="00AB78E2"/>
    <w:rsid w:val="00B80D0B"/>
    <w:rsid w:val="00B83C80"/>
    <w:rsid w:val="00BD7DF6"/>
    <w:rsid w:val="00C00840"/>
    <w:rsid w:val="00C83715"/>
    <w:rsid w:val="00D164F8"/>
    <w:rsid w:val="00E11293"/>
    <w:rsid w:val="00E326A8"/>
    <w:rsid w:val="00E71B39"/>
    <w:rsid w:val="00F468A7"/>
    <w:rsid w:val="00F619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C81FA"/>
  <w15:chartTrackingRefBased/>
  <w15:docId w15:val="{BDFD04F6-342D-4A2A-87C2-CE891A8C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19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19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19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19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19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19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19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19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19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9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19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19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19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19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19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19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19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19BA"/>
    <w:rPr>
      <w:rFonts w:eastAsiaTheme="majorEastAsia" w:cstheme="majorBidi"/>
      <w:color w:val="272727" w:themeColor="text1" w:themeTint="D8"/>
    </w:rPr>
  </w:style>
  <w:style w:type="paragraph" w:styleId="Title">
    <w:name w:val="Title"/>
    <w:basedOn w:val="Normal"/>
    <w:next w:val="Normal"/>
    <w:link w:val="TitleChar"/>
    <w:uiPriority w:val="10"/>
    <w:qFormat/>
    <w:rsid w:val="00F61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9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19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19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19BA"/>
    <w:pPr>
      <w:spacing w:before="160"/>
      <w:jc w:val="center"/>
    </w:pPr>
    <w:rPr>
      <w:i/>
      <w:iCs/>
      <w:color w:val="404040" w:themeColor="text1" w:themeTint="BF"/>
    </w:rPr>
  </w:style>
  <w:style w:type="character" w:customStyle="1" w:styleId="QuoteChar">
    <w:name w:val="Quote Char"/>
    <w:basedOn w:val="DefaultParagraphFont"/>
    <w:link w:val="Quote"/>
    <w:uiPriority w:val="29"/>
    <w:rsid w:val="00F619BA"/>
    <w:rPr>
      <w:i/>
      <w:iCs/>
      <w:color w:val="404040" w:themeColor="text1" w:themeTint="BF"/>
    </w:rPr>
  </w:style>
  <w:style w:type="paragraph" w:styleId="ListParagraph">
    <w:name w:val="List Paragraph"/>
    <w:basedOn w:val="Normal"/>
    <w:uiPriority w:val="34"/>
    <w:qFormat/>
    <w:rsid w:val="00F619BA"/>
    <w:pPr>
      <w:ind w:left="720"/>
      <w:contextualSpacing/>
    </w:pPr>
  </w:style>
  <w:style w:type="character" w:styleId="IntenseEmphasis">
    <w:name w:val="Intense Emphasis"/>
    <w:basedOn w:val="DefaultParagraphFont"/>
    <w:uiPriority w:val="21"/>
    <w:qFormat/>
    <w:rsid w:val="00F619BA"/>
    <w:rPr>
      <w:i/>
      <w:iCs/>
      <w:color w:val="2F5496" w:themeColor="accent1" w:themeShade="BF"/>
    </w:rPr>
  </w:style>
  <w:style w:type="paragraph" w:styleId="IntenseQuote">
    <w:name w:val="Intense Quote"/>
    <w:basedOn w:val="Normal"/>
    <w:next w:val="Normal"/>
    <w:link w:val="IntenseQuoteChar"/>
    <w:uiPriority w:val="30"/>
    <w:qFormat/>
    <w:rsid w:val="00F619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19BA"/>
    <w:rPr>
      <w:i/>
      <w:iCs/>
      <w:color w:val="2F5496" w:themeColor="accent1" w:themeShade="BF"/>
    </w:rPr>
  </w:style>
  <w:style w:type="character" w:styleId="IntenseReference">
    <w:name w:val="Intense Reference"/>
    <w:basedOn w:val="DefaultParagraphFont"/>
    <w:uiPriority w:val="32"/>
    <w:qFormat/>
    <w:rsid w:val="00F619BA"/>
    <w:rPr>
      <w:b/>
      <w:bCs/>
      <w:smallCaps/>
      <w:color w:val="2F5496" w:themeColor="accent1" w:themeShade="BF"/>
      <w:spacing w:val="5"/>
    </w:rPr>
  </w:style>
  <w:style w:type="character" w:styleId="Hyperlink">
    <w:name w:val="Hyperlink"/>
    <w:basedOn w:val="DefaultParagraphFont"/>
    <w:uiPriority w:val="99"/>
    <w:unhideWhenUsed/>
    <w:rsid w:val="00F619BA"/>
    <w:rPr>
      <w:color w:val="0563C1" w:themeColor="hyperlink"/>
      <w:u w:val="single"/>
    </w:rPr>
  </w:style>
  <w:style w:type="character" w:styleId="UnresolvedMention">
    <w:name w:val="Unresolved Mention"/>
    <w:basedOn w:val="DefaultParagraphFont"/>
    <w:uiPriority w:val="99"/>
    <w:semiHidden/>
    <w:unhideWhenUsed/>
    <w:rsid w:val="00F619BA"/>
    <w:rPr>
      <w:color w:val="605E5C"/>
      <w:shd w:val="clear" w:color="auto" w:fill="E1DFDD"/>
    </w:rPr>
  </w:style>
  <w:style w:type="paragraph" w:styleId="Revision">
    <w:name w:val="Revision"/>
    <w:hidden/>
    <w:uiPriority w:val="99"/>
    <w:semiHidden/>
    <w:rsid w:val="00E11293"/>
    <w:pPr>
      <w:spacing w:after="0" w:line="240" w:lineRule="auto"/>
    </w:pPr>
  </w:style>
  <w:style w:type="character" w:styleId="CommentReference">
    <w:name w:val="annotation reference"/>
    <w:basedOn w:val="DefaultParagraphFont"/>
    <w:uiPriority w:val="99"/>
    <w:semiHidden/>
    <w:unhideWhenUsed/>
    <w:rsid w:val="00E11293"/>
    <w:rPr>
      <w:sz w:val="16"/>
      <w:szCs w:val="16"/>
    </w:rPr>
  </w:style>
  <w:style w:type="paragraph" w:styleId="CommentText">
    <w:name w:val="annotation text"/>
    <w:basedOn w:val="Normal"/>
    <w:link w:val="CommentTextChar"/>
    <w:uiPriority w:val="99"/>
    <w:unhideWhenUsed/>
    <w:rsid w:val="00E11293"/>
    <w:pPr>
      <w:spacing w:line="240" w:lineRule="auto"/>
    </w:pPr>
    <w:rPr>
      <w:sz w:val="20"/>
      <w:szCs w:val="20"/>
    </w:rPr>
  </w:style>
  <w:style w:type="character" w:customStyle="1" w:styleId="CommentTextChar">
    <w:name w:val="Comment Text Char"/>
    <w:basedOn w:val="DefaultParagraphFont"/>
    <w:link w:val="CommentText"/>
    <w:uiPriority w:val="99"/>
    <w:rsid w:val="00E11293"/>
    <w:rPr>
      <w:sz w:val="20"/>
      <w:szCs w:val="20"/>
    </w:rPr>
  </w:style>
  <w:style w:type="paragraph" w:styleId="CommentSubject">
    <w:name w:val="annotation subject"/>
    <w:basedOn w:val="CommentText"/>
    <w:next w:val="CommentText"/>
    <w:link w:val="CommentSubjectChar"/>
    <w:uiPriority w:val="99"/>
    <w:semiHidden/>
    <w:unhideWhenUsed/>
    <w:rsid w:val="00E11293"/>
    <w:rPr>
      <w:b/>
      <w:bCs/>
    </w:rPr>
  </w:style>
  <w:style w:type="character" w:customStyle="1" w:styleId="CommentSubjectChar">
    <w:name w:val="Comment Subject Char"/>
    <w:basedOn w:val="CommentTextChar"/>
    <w:link w:val="CommentSubject"/>
    <w:uiPriority w:val="99"/>
    <w:semiHidden/>
    <w:rsid w:val="00E112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vinat@sprep.org" TargetMode="External"/><Relationship Id="rId5" Type="http://schemas.openxmlformats.org/officeDocument/2006/relationships/hyperlink" Target="mailto:susanat@sprep.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52F9D9F-5EC6-BF43-B3BF-FF1E7E7B694B}">
  <we:reference id="wa200007559" version="12.2.2.0" store="en-US" storeType="OMEX"/>
  <we:alternateReferences>
    <we:reference id="wa200007559" version="12.2.2.0" store="en-US" storeType="OMEX"/>
  </we:alternateReferences>
  <we:properties>
    <we:property name="AntidoteWordID" value="&quot;a39dd7dc-e242-4b03-a9d0-f7b7208cd93a&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4</Pages>
  <Words>1054</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Telakau</dc:creator>
  <cp:keywords/>
  <dc:description/>
  <dcterms:created xsi:type="dcterms:W3CDTF">2026-02-09T04:00:00Z</dcterms:created>
  <dcterms:modified xsi:type="dcterms:W3CDTF">2026-02-11T04:59:00Z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2de8647e-6950-4b1e-8847-5a12f55499a6</vt:lpwstr>
  </property>
</Properties>
</file>