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FECD" w14:textId="7962B141" w:rsidR="00A32DA7" w:rsidRPr="00BF10A1" w:rsidRDefault="003D4D26" w:rsidP="00BF10A1">
      <w:pPr>
        <w:spacing w:after="0" w:line="240" w:lineRule="auto"/>
        <w:jc w:val="center"/>
        <w:rPr>
          <w:rFonts w:ascii="Arial" w:hAnsi="Arial" w:cs="Arial"/>
          <w:b/>
          <w:bCs/>
          <w:sz w:val="22"/>
          <w:szCs w:val="22"/>
        </w:rPr>
      </w:pPr>
      <w:r>
        <w:rPr>
          <w:rFonts w:ascii="Arial" w:hAnsi="Arial" w:cs="Arial"/>
          <w:b/>
          <w:bCs/>
          <w:sz w:val="22"/>
          <w:szCs w:val="22"/>
        </w:rPr>
        <w:t>`</w:t>
      </w:r>
      <w:r w:rsidR="002B6FAA" w:rsidRPr="00BF10A1">
        <w:rPr>
          <w:rFonts w:ascii="Arial" w:hAnsi="Arial" w:cs="Arial"/>
          <w:b/>
          <w:bCs/>
          <w:sz w:val="22"/>
          <w:szCs w:val="22"/>
        </w:rPr>
        <w:t>Terms of Reference</w:t>
      </w:r>
    </w:p>
    <w:p w14:paraId="06A61B48" w14:textId="77777777" w:rsidR="002B6FAA" w:rsidRPr="00BA6E56" w:rsidRDefault="002B6FAA" w:rsidP="00BF10A1">
      <w:pPr>
        <w:spacing w:after="0" w:line="240" w:lineRule="auto"/>
        <w:jc w:val="center"/>
        <w:rPr>
          <w:rFonts w:ascii="Arial" w:hAnsi="Arial" w:cs="Arial"/>
          <w:b/>
          <w:bCs/>
          <w:sz w:val="20"/>
          <w:szCs w:val="20"/>
        </w:rPr>
      </w:pPr>
    </w:p>
    <w:p w14:paraId="2AAD954A" w14:textId="5C658B4F" w:rsidR="002B6FAA" w:rsidRPr="00BA6E56" w:rsidRDefault="002B6FAA" w:rsidP="00BF10A1">
      <w:pPr>
        <w:spacing w:after="0" w:line="240" w:lineRule="auto"/>
        <w:jc w:val="center"/>
        <w:rPr>
          <w:rFonts w:ascii="Arial" w:hAnsi="Arial" w:cs="Arial"/>
          <w:b/>
          <w:bCs/>
          <w:sz w:val="20"/>
          <w:szCs w:val="20"/>
        </w:rPr>
      </w:pPr>
      <w:r w:rsidRPr="00BA6E56">
        <w:rPr>
          <w:rFonts w:ascii="Arial" w:hAnsi="Arial" w:cs="Arial"/>
          <w:b/>
          <w:bCs/>
          <w:sz w:val="20"/>
          <w:szCs w:val="20"/>
        </w:rPr>
        <w:t>Consultant to Develop a</w:t>
      </w:r>
      <w:r w:rsidR="00EB2D45">
        <w:rPr>
          <w:rFonts w:ascii="Arial" w:hAnsi="Arial" w:cs="Arial"/>
          <w:b/>
          <w:bCs/>
          <w:sz w:val="20"/>
          <w:szCs w:val="20"/>
        </w:rPr>
        <w:t xml:space="preserve"> Sustainable</w:t>
      </w:r>
      <w:r w:rsidRPr="00BA6E56">
        <w:rPr>
          <w:rFonts w:ascii="Arial" w:hAnsi="Arial" w:cs="Arial"/>
          <w:b/>
          <w:bCs/>
          <w:sz w:val="20"/>
          <w:szCs w:val="20"/>
        </w:rPr>
        <w:t xml:space="preserve"> Financ</w:t>
      </w:r>
      <w:r w:rsidR="007A57A0">
        <w:rPr>
          <w:rFonts w:ascii="Arial" w:hAnsi="Arial" w:cs="Arial"/>
          <w:b/>
          <w:bCs/>
          <w:sz w:val="20"/>
          <w:szCs w:val="20"/>
        </w:rPr>
        <w:t>ing</w:t>
      </w:r>
      <w:r w:rsidRPr="00BA6E56">
        <w:rPr>
          <w:rFonts w:ascii="Arial" w:hAnsi="Arial" w:cs="Arial"/>
          <w:b/>
          <w:bCs/>
          <w:sz w:val="20"/>
          <w:szCs w:val="20"/>
        </w:rPr>
        <w:t xml:space="preserve"> Strategy for the Noumea Convention (Convention for the Protection of the Natural Resources and Environment of the Pacific Region)</w:t>
      </w:r>
    </w:p>
    <w:p w14:paraId="1B87393B" w14:textId="77777777" w:rsidR="002B6FAA" w:rsidRPr="00BA6E56" w:rsidRDefault="002B6FAA" w:rsidP="002B6FAA">
      <w:pPr>
        <w:spacing w:after="0"/>
        <w:jc w:val="center"/>
        <w:rPr>
          <w:rFonts w:ascii="Arial" w:hAnsi="Arial" w:cs="Arial"/>
          <w:b/>
          <w:bCs/>
          <w:sz w:val="20"/>
          <w:szCs w:val="20"/>
        </w:rPr>
      </w:pPr>
    </w:p>
    <w:p w14:paraId="108211B6" w14:textId="0AEC5430" w:rsidR="009D041C" w:rsidRPr="00BA6E56" w:rsidRDefault="009D041C" w:rsidP="009D041C">
      <w:pPr>
        <w:pStyle w:val="ListParagraph"/>
        <w:numPr>
          <w:ilvl w:val="0"/>
          <w:numId w:val="5"/>
        </w:numPr>
        <w:spacing w:after="0"/>
        <w:jc w:val="both"/>
        <w:rPr>
          <w:rFonts w:ascii="Arial" w:hAnsi="Arial" w:cs="Arial"/>
          <w:b/>
          <w:bCs/>
          <w:sz w:val="20"/>
          <w:szCs w:val="20"/>
        </w:rPr>
      </w:pPr>
      <w:r w:rsidRPr="00BA6E56">
        <w:rPr>
          <w:rFonts w:ascii="Arial" w:hAnsi="Arial" w:cs="Arial"/>
          <w:b/>
          <w:bCs/>
          <w:sz w:val="20"/>
          <w:szCs w:val="20"/>
        </w:rPr>
        <w:t>Background</w:t>
      </w:r>
    </w:p>
    <w:p w14:paraId="7CF9E85A" w14:textId="7A4C0206" w:rsidR="004205B6" w:rsidRDefault="002B6FAA" w:rsidP="009D041C">
      <w:pPr>
        <w:spacing w:after="0"/>
        <w:jc w:val="both"/>
        <w:rPr>
          <w:rFonts w:ascii="Arial" w:hAnsi="Arial" w:cs="Arial"/>
          <w:sz w:val="20"/>
          <w:szCs w:val="20"/>
        </w:rPr>
      </w:pPr>
      <w:r w:rsidRPr="00BA6E56">
        <w:rPr>
          <w:rFonts w:ascii="Arial" w:hAnsi="Arial" w:cs="Arial"/>
          <w:sz w:val="20"/>
          <w:szCs w:val="20"/>
        </w:rPr>
        <w:t xml:space="preserve">The Noumea Convention is the Pacific Region’s component of the United Nations Environment Programme Regional Seas that was launched in 1972. It was adopted in 1986 and came into force in 1990 with two protocols namely the Dumping Protocol and the Emergencies Protocols. </w:t>
      </w:r>
      <w:r w:rsidR="00B2397C" w:rsidRPr="00BA6E56">
        <w:rPr>
          <w:rFonts w:ascii="Arial" w:hAnsi="Arial" w:cs="Arial"/>
          <w:sz w:val="20"/>
          <w:szCs w:val="20"/>
        </w:rPr>
        <w:t xml:space="preserve">The focus of the Noumea Convention is to prevent, reduce and control pollution in the convention area from any source, and </w:t>
      </w:r>
      <w:r w:rsidR="00D0143A">
        <w:rPr>
          <w:rFonts w:ascii="Arial" w:hAnsi="Arial" w:cs="Arial"/>
          <w:sz w:val="20"/>
          <w:szCs w:val="20"/>
        </w:rPr>
        <w:t>to</w:t>
      </w:r>
      <w:r w:rsidR="00B2397C" w:rsidRPr="00BA6E56">
        <w:rPr>
          <w:rFonts w:ascii="Arial" w:hAnsi="Arial" w:cs="Arial"/>
          <w:sz w:val="20"/>
          <w:szCs w:val="20"/>
        </w:rPr>
        <w:t xml:space="preserve"> ensur</w:t>
      </w:r>
      <w:r w:rsidR="00D0143A">
        <w:rPr>
          <w:rFonts w:ascii="Arial" w:hAnsi="Arial" w:cs="Arial"/>
          <w:sz w:val="20"/>
          <w:szCs w:val="20"/>
        </w:rPr>
        <w:t>e</w:t>
      </w:r>
      <w:r w:rsidR="00B2397C" w:rsidRPr="00BA6E56">
        <w:rPr>
          <w:rFonts w:ascii="Arial" w:hAnsi="Arial" w:cs="Arial"/>
          <w:sz w:val="20"/>
          <w:szCs w:val="20"/>
        </w:rPr>
        <w:t xml:space="preserve"> </w:t>
      </w:r>
      <w:r w:rsidR="00235F12">
        <w:rPr>
          <w:rFonts w:ascii="Arial" w:hAnsi="Arial" w:cs="Arial"/>
          <w:sz w:val="20"/>
          <w:szCs w:val="20"/>
        </w:rPr>
        <w:t xml:space="preserve">sound </w:t>
      </w:r>
      <w:r w:rsidR="00B2397C" w:rsidRPr="00BA6E56">
        <w:rPr>
          <w:rFonts w:ascii="Arial" w:hAnsi="Arial" w:cs="Arial"/>
          <w:sz w:val="20"/>
          <w:szCs w:val="20"/>
        </w:rPr>
        <w:t>environmental management and development of natural resources</w:t>
      </w:r>
      <w:r w:rsidR="00235F12">
        <w:rPr>
          <w:rFonts w:ascii="Arial" w:hAnsi="Arial" w:cs="Arial"/>
          <w:sz w:val="20"/>
          <w:szCs w:val="20"/>
        </w:rPr>
        <w:t xml:space="preserve">. </w:t>
      </w:r>
    </w:p>
    <w:p w14:paraId="264C2740" w14:textId="77777777" w:rsidR="00D55C89" w:rsidRPr="00BA6E56" w:rsidRDefault="00D55C89" w:rsidP="009D041C">
      <w:pPr>
        <w:spacing w:after="0"/>
        <w:jc w:val="both"/>
        <w:rPr>
          <w:rFonts w:ascii="Arial" w:hAnsi="Arial" w:cs="Arial"/>
          <w:sz w:val="20"/>
          <w:szCs w:val="20"/>
        </w:rPr>
      </w:pPr>
    </w:p>
    <w:p w14:paraId="45487E9D" w14:textId="5C6DEE49" w:rsidR="00C61BAE" w:rsidRDefault="00C61BAE" w:rsidP="009D041C">
      <w:pPr>
        <w:spacing w:after="0"/>
        <w:jc w:val="both"/>
        <w:rPr>
          <w:rFonts w:ascii="Arial" w:hAnsi="Arial" w:cs="Arial"/>
          <w:sz w:val="20"/>
          <w:szCs w:val="20"/>
        </w:rPr>
      </w:pPr>
      <w:r w:rsidRPr="00BA6E56">
        <w:rPr>
          <w:rFonts w:ascii="Arial" w:hAnsi="Arial" w:cs="Arial"/>
          <w:sz w:val="20"/>
          <w:szCs w:val="20"/>
        </w:rPr>
        <w:t xml:space="preserve">The 12 Parties to the </w:t>
      </w:r>
      <w:r w:rsidR="00FC6AB2">
        <w:rPr>
          <w:rFonts w:ascii="Arial" w:hAnsi="Arial" w:cs="Arial"/>
          <w:sz w:val="20"/>
          <w:szCs w:val="20"/>
        </w:rPr>
        <w:t xml:space="preserve">Noumea </w:t>
      </w:r>
      <w:r w:rsidRPr="00BA6E56">
        <w:rPr>
          <w:rFonts w:ascii="Arial" w:hAnsi="Arial" w:cs="Arial"/>
          <w:sz w:val="20"/>
          <w:szCs w:val="20"/>
        </w:rPr>
        <w:t xml:space="preserve">Convention are Australia, Cook Islands, Federated States of </w:t>
      </w:r>
      <w:r w:rsidR="006266D0" w:rsidRPr="00BA6E56">
        <w:rPr>
          <w:rFonts w:ascii="Arial" w:hAnsi="Arial" w:cs="Arial"/>
          <w:sz w:val="20"/>
          <w:szCs w:val="20"/>
        </w:rPr>
        <w:t xml:space="preserve">Micronesia, </w:t>
      </w:r>
      <w:r w:rsidR="00435DCA" w:rsidRPr="00BA6E56">
        <w:rPr>
          <w:rFonts w:ascii="Arial" w:hAnsi="Arial" w:cs="Arial"/>
          <w:sz w:val="20"/>
          <w:szCs w:val="20"/>
        </w:rPr>
        <w:t xml:space="preserve">Fiji, France, Republic of Marshall Islands, Nauru, New Zealand, Papua New Guinea, Samoa, Solomon Islands and United States of America. </w:t>
      </w:r>
    </w:p>
    <w:p w14:paraId="6BEBE982" w14:textId="77777777" w:rsidR="00735362" w:rsidRPr="00BA6E56" w:rsidRDefault="00735362" w:rsidP="009D041C">
      <w:pPr>
        <w:spacing w:after="0"/>
        <w:jc w:val="both"/>
        <w:rPr>
          <w:rFonts w:ascii="Arial" w:hAnsi="Arial" w:cs="Arial"/>
          <w:sz w:val="20"/>
          <w:szCs w:val="20"/>
        </w:rPr>
      </w:pPr>
    </w:p>
    <w:p w14:paraId="2D3CDFA2" w14:textId="4E9D2B40" w:rsidR="00B24A5B" w:rsidRDefault="008615F4" w:rsidP="009D041C">
      <w:pPr>
        <w:spacing w:after="0"/>
        <w:jc w:val="both"/>
        <w:rPr>
          <w:rFonts w:ascii="Arial" w:hAnsi="Arial" w:cs="Arial"/>
          <w:sz w:val="20"/>
          <w:szCs w:val="20"/>
        </w:rPr>
      </w:pPr>
      <w:r w:rsidRPr="00BA6E56">
        <w:rPr>
          <w:rFonts w:ascii="Arial" w:hAnsi="Arial" w:cs="Arial"/>
          <w:sz w:val="20"/>
          <w:szCs w:val="20"/>
        </w:rPr>
        <w:t xml:space="preserve">The main source of funding for the </w:t>
      </w:r>
      <w:r w:rsidR="00FC6AB2">
        <w:rPr>
          <w:rFonts w:ascii="Arial" w:hAnsi="Arial" w:cs="Arial"/>
          <w:sz w:val="20"/>
          <w:szCs w:val="20"/>
        </w:rPr>
        <w:t xml:space="preserve">Convention </w:t>
      </w:r>
      <w:r w:rsidR="00735362">
        <w:rPr>
          <w:rFonts w:ascii="Arial" w:hAnsi="Arial" w:cs="Arial"/>
          <w:sz w:val="20"/>
          <w:szCs w:val="20"/>
        </w:rPr>
        <w:t>derives</w:t>
      </w:r>
      <w:r w:rsidRPr="00BA6E56">
        <w:rPr>
          <w:rFonts w:ascii="Arial" w:hAnsi="Arial" w:cs="Arial"/>
          <w:sz w:val="20"/>
          <w:szCs w:val="20"/>
        </w:rPr>
        <w:t xml:space="preserve"> from contributions by the Parties on a </w:t>
      </w:r>
      <w:r w:rsidR="000C3D21" w:rsidRPr="00BA6E56">
        <w:rPr>
          <w:rFonts w:ascii="Arial" w:hAnsi="Arial" w:cs="Arial"/>
          <w:sz w:val="20"/>
          <w:szCs w:val="20"/>
        </w:rPr>
        <w:t>biennial</w:t>
      </w:r>
      <w:r w:rsidRPr="00BA6E56">
        <w:rPr>
          <w:rFonts w:ascii="Arial" w:hAnsi="Arial" w:cs="Arial"/>
          <w:sz w:val="20"/>
          <w:szCs w:val="20"/>
        </w:rPr>
        <w:t xml:space="preserve"> basis. Traditionally, these funds have been used for </w:t>
      </w:r>
      <w:r w:rsidR="001727B9">
        <w:rPr>
          <w:rFonts w:ascii="Arial" w:hAnsi="Arial" w:cs="Arial"/>
          <w:sz w:val="20"/>
          <w:szCs w:val="20"/>
        </w:rPr>
        <w:t xml:space="preserve">the </w:t>
      </w:r>
      <w:r w:rsidRPr="00BA6E56">
        <w:rPr>
          <w:rFonts w:ascii="Arial" w:hAnsi="Arial" w:cs="Arial"/>
          <w:sz w:val="20"/>
          <w:szCs w:val="20"/>
        </w:rPr>
        <w:t>limited purposes</w:t>
      </w:r>
      <w:r w:rsidR="00D2247C">
        <w:rPr>
          <w:rFonts w:ascii="Arial" w:hAnsi="Arial" w:cs="Arial"/>
          <w:sz w:val="20"/>
          <w:szCs w:val="20"/>
        </w:rPr>
        <w:t xml:space="preserve"> of covering </w:t>
      </w:r>
      <w:r w:rsidRPr="00BA6E56">
        <w:rPr>
          <w:rFonts w:ascii="Arial" w:hAnsi="Arial" w:cs="Arial"/>
          <w:sz w:val="20"/>
          <w:szCs w:val="20"/>
        </w:rPr>
        <w:t xml:space="preserve">the costs associated with the organization of the Conference of the Parties </w:t>
      </w:r>
      <w:r w:rsidR="007D496F">
        <w:rPr>
          <w:rFonts w:ascii="Arial" w:hAnsi="Arial" w:cs="Arial"/>
          <w:sz w:val="20"/>
          <w:szCs w:val="20"/>
        </w:rPr>
        <w:t xml:space="preserve">(COP) </w:t>
      </w:r>
      <w:r w:rsidRPr="00BA6E56">
        <w:rPr>
          <w:rFonts w:ascii="Arial" w:hAnsi="Arial" w:cs="Arial"/>
          <w:sz w:val="20"/>
          <w:szCs w:val="20"/>
        </w:rPr>
        <w:t xml:space="preserve">meetings and to support the provision of technical advice during the COP. </w:t>
      </w:r>
    </w:p>
    <w:p w14:paraId="2A1A3576" w14:textId="77777777" w:rsidR="00D55C89" w:rsidRPr="00BA6E56" w:rsidRDefault="00D55C89" w:rsidP="009D041C">
      <w:pPr>
        <w:spacing w:after="0"/>
        <w:jc w:val="both"/>
        <w:rPr>
          <w:rFonts w:ascii="Arial" w:hAnsi="Arial" w:cs="Arial"/>
          <w:sz w:val="20"/>
          <w:szCs w:val="20"/>
        </w:rPr>
      </w:pPr>
    </w:p>
    <w:p w14:paraId="71A4FD56" w14:textId="548096B1" w:rsidR="003E20BA" w:rsidRDefault="003E20BA" w:rsidP="009D041C">
      <w:pPr>
        <w:spacing w:after="0"/>
        <w:jc w:val="both"/>
        <w:rPr>
          <w:rFonts w:ascii="Arial" w:hAnsi="Arial" w:cs="Arial"/>
          <w:sz w:val="20"/>
          <w:szCs w:val="20"/>
        </w:rPr>
      </w:pPr>
      <w:r>
        <w:rPr>
          <w:rFonts w:ascii="Arial" w:hAnsi="Arial" w:cs="Arial"/>
          <w:sz w:val="20"/>
          <w:szCs w:val="20"/>
        </w:rPr>
        <w:t>At the 18</w:t>
      </w:r>
      <w:r w:rsidRPr="003E20BA">
        <w:rPr>
          <w:rFonts w:ascii="Arial" w:hAnsi="Arial" w:cs="Arial"/>
          <w:sz w:val="20"/>
          <w:szCs w:val="20"/>
          <w:vertAlign w:val="superscript"/>
        </w:rPr>
        <w:t>th</w:t>
      </w:r>
      <w:r>
        <w:rPr>
          <w:rFonts w:ascii="Arial" w:hAnsi="Arial" w:cs="Arial"/>
          <w:sz w:val="20"/>
          <w:szCs w:val="20"/>
        </w:rPr>
        <w:t xml:space="preserve"> </w:t>
      </w:r>
      <w:r w:rsidR="007D496F">
        <w:rPr>
          <w:rFonts w:ascii="Arial" w:hAnsi="Arial" w:cs="Arial"/>
          <w:sz w:val="20"/>
          <w:szCs w:val="20"/>
        </w:rPr>
        <w:t>COP</w:t>
      </w:r>
      <w:r>
        <w:rPr>
          <w:rFonts w:ascii="Arial" w:hAnsi="Arial" w:cs="Arial"/>
          <w:sz w:val="20"/>
          <w:szCs w:val="20"/>
        </w:rPr>
        <w:t xml:space="preserve"> Meeting in 2025, the Parties formally approved the Noumea Convention Workplan and Budget. The </w:t>
      </w:r>
      <w:r w:rsidR="00254DF2">
        <w:rPr>
          <w:rFonts w:ascii="Arial" w:hAnsi="Arial" w:cs="Arial"/>
          <w:sz w:val="20"/>
          <w:szCs w:val="20"/>
        </w:rPr>
        <w:t>main purpose of the Workplan and Budget is to implement the activities and recommendations from the review of the Noumea Convention carried out in 2021</w:t>
      </w:r>
      <w:r w:rsidR="008D2E5A">
        <w:rPr>
          <w:rFonts w:ascii="Arial" w:hAnsi="Arial" w:cs="Arial"/>
          <w:sz w:val="20"/>
          <w:szCs w:val="20"/>
        </w:rPr>
        <w:t xml:space="preserve"> to evaluate and assess its governance, operations and implementation. </w:t>
      </w:r>
    </w:p>
    <w:p w14:paraId="346E3CF1" w14:textId="77777777" w:rsidR="00476121" w:rsidRDefault="00476121" w:rsidP="009D041C">
      <w:pPr>
        <w:spacing w:after="0"/>
        <w:jc w:val="both"/>
        <w:rPr>
          <w:rFonts w:ascii="Arial" w:hAnsi="Arial" w:cs="Arial"/>
          <w:sz w:val="20"/>
          <w:szCs w:val="20"/>
        </w:rPr>
      </w:pPr>
    </w:p>
    <w:p w14:paraId="40E0814F" w14:textId="6BCF9545" w:rsidR="00FD0AD0" w:rsidRPr="00BA6E56" w:rsidRDefault="00476121" w:rsidP="009D041C">
      <w:pPr>
        <w:spacing w:after="0"/>
        <w:jc w:val="both"/>
        <w:rPr>
          <w:rFonts w:ascii="Arial" w:hAnsi="Arial" w:cs="Arial"/>
          <w:sz w:val="20"/>
          <w:szCs w:val="20"/>
        </w:rPr>
      </w:pPr>
      <w:r>
        <w:rPr>
          <w:rFonts w:ascii="Arial" w:hAnsi="Arial" w:cs="Arial"/>
          <w:sz w:val="20"/>
          <w:szCs w:val="20"/>
        </w:rPr>
        <w:t xml:space="preserve">The Workplan and Budget </w:t>
      </w:r>
      <w:r w:rsidR="009774E2">
        <w:rPr>
          <w:rFonts w:ascii="Arial" w:hAnsi="Arial" w:cs="Arial"/>
          <w:sz w:val="20"/>
          <w:szCs w:val="20"/>
        </w:rPr>
        <w:t>is built around</w:t>
      </w:r>
      <w:r>
        <w:rPr>
          <w:rFonts w:ascii="Arial" w:hAnsi="Arial" w:cs="Arial"/>
          <w:sz w:val="20"/>
          <w:szCs w:val="20"/>
        </w:rPr>
        <w:t xml:space="preserve"> four (4) </w:t>
      </w:r>
      <w:r w:rsidR="004B08CF">
        <w:rPr>
          <w:rFonts w:ascii="Arial" w:hAnsi="Arial" w:cs="Arial"/>
          <w:sz w:val="20"/>
          <w:szCs w:val="20"/>
        </w:rPr>
        <w:t xml:space="preserve">main </w:t>
      </w:r>
      <w:r>
        <w:rPr>
          <w:rFonts w:ascii="Arial" w:hAnsi="Arial" w:cs="Arial"/>
          <w:sz w:val="20"/>
          <w:szCs w:val="20"/>
        </w:rPr>
        <w:t>goals comprising</w:t>
      </w:r>
      <w:r w:rsidR="00F83DC2">
        <w:rPr>
          <w:rFonts w:ascii="Arial" w:hAnsi="Arial" w:cs="Arial"/>
          <w:sz w:val="20"/>
          <w:szCs w:val="20"/>
        </w:rPr>
        <w:t xml:space="preserve">, </w:t>
      </w:r>
      <w:r>
        <w:rPr>
          <w:rFonts w:ascii="Arial" w:hAnsi="Arial" w:cs="Arial"/>
          <w:sz w:val="20"/>
          <w:szCs w:val="20"/>
        </w:rPr>
        <w:t xml:space="preserve">strengthening the </w:t>
      </w:r>
      <w:r w:rsidR="00EA698C">
        <w:rPr>
          <w:rFonts w:ascii="Arial" w:hAnsi="Arial" w:cs="Arial"/>
          <w:sz w:val="20"/>
          <w:szCs w:val="20"/>
        </w:rPr>
        <w:t xml:space="preserve">Secretariat of the </w:t>
      </w:r>
      <w:r>
        <w:rPr>
          <w:rFonts w:ascii="Arial" w:hAnsi="Arial" w:cs="Arial"/>
          <w:sz w:val="20"/>
          <w:szCs w:val="20"/>
        </w:rPr>
        <w:t xml:space="preserve">Noumea Convention and its sustainability,  </w:t>
      </w:r>
      <w:r w:rsidR="00015743">
        <w:rPr>
          <w:rFonts w:ascii="Arial" w:hAnsi="Arial" w:cs="Arial"/>
          <w:sz w:val="20"/>
          <w:szCs w:val="20"/>
        </w:rPr>
        <w:t xml:space="preserve">effective </w:t>
      </w:r>
      <w:r>
        <w:rPr>
          <w:rFonts w:ascii="Arial" w:hAnsi="Arial" w:cs="Arial"/>
          <w:sz w:val="20"/>
          <w:szCs w:val="20"/>
        </w:rPr>
        <w:t xml:space="preserve">communication and awareness, </w:t>
      </w:r>
      <w:r w:rsidR="008D5B99">
        <w:rPr>
          <w:rFonts w:ascii="Arial" w:hAnsi="Arial" w:cs="Arial"/>
          <w:sz w:val="20"/>
          <w:szCs w:val="20"/>
        </w:rPr>
        <w:t xml:space="preserve">strengthening the Regional Seas Programme </w:t>
      </w:r>
      <w:r>
        <w:rPr>
          <w:rFonts w:ascii="Arial" w:hAnsi="Arial" w:cs="Arial"/>
          <w:sz w:val="20"/>
          <w:szCs w:val="20"/>
        </w:rPr>
        <w:t xml:space="preserve">and </w:t>
      </w:r>
      <w:r w:rsidR="008D5B99">
        <w:rPr>
          <w:rFonts w:ascii="Arial" w:hAnsi="Arial" w:cs="Arial"/>
          <w:sz w:val="20"/>
          <w:szCs w:val="20"/>
        </w:rPr>
        <w:t>improving m</w:t>
      </w:r>
      <w:r>
        <w:rPr>
          <w:rFonts w:ascii="Arial" w:hAnsi="Arial" w:cs="Arial"/>
          <w:sz w:val="20"/>
          <w:szCs w:val="20"/>
        </w:rPr>
        <w:t>onitoring and</w:t>
      </w:r>
      <w:r w:rsidR="00EA698C">
        <w:rPr>
          <w:rFonts w:ascii="Arial" w:hAnsi="Arial" w:cs="Arial"/>
          <w:sz w:val="20"/>
          <w:szCs w:val="20"/>
        </w:rPr>
        <w:t xml:space="preserve"> </w:t>
      </w:r>
      <w:r w:rsidR="008D5B99">
        <w:rPr>
          <w:rFonts w:ascii="Arial" w:hAnsi="Arial" w:cs="Arial"/>
          <w:sz w:val="20"/>
          <w:szCs w:val="20"/>
        </w:rPr>
        <w:t>r</w:t>
      </w:r>
      <w:r w:rsidR="00EA698C">
        <w:rPr>
          <w:rFonts w:ascii="Arial" w:hAnsi="Arial" w:cs="Arial"/>
          <w:sz w:val="20"/>
          <w:szCs w:val="20"/>
        </w:rPr>
        <w:t xml:space="preserve">eporting. </w:t>
      </w:r>
      <w:r w:rsidR="004B08CF">
        <w:rPr>
          <w:rFonts w:ascii="Arial" w:hAnsi="Arial" w:cs="Arial"/>
          <w:sz w:val="20"/>
          <w:szCs w:val="20"/>
        </w:rPr>
        <w:t>A key strategic action</w:t>
      </w:r>
      <w:r w:rsidR="00B102AF">
        <w:rPr>
          <w:rFonts w:ascii="Arial" w:hAnsi="Arial" w:cs="Arial"/>
          <w:sz w:val="20"/>
          <w:szCs w:val="20"/>
        </w:rPr>
        <w:t xml:space="preserve"> </w:t>
      </w:r>
      <w:r w:rsidR="00CF68ED">
        <w:rPr>
          <w:rFonts w:ascii="Arial" w:hAnsi="Arial" w:cs="Arial"/>
          <w:sz w:val="20"/>
          <w:szCs w:val="20"/>
        </w:rPr>
        <w:t>or priority</w:t>
      </w:r>
      <w:r w:rsidR="00FE6A6D">
        <w:rPr>
          <w:rFonts w:ascii="Arial" w:hAnsi="Arial" w:cs="Arial"/>
          <w:sz w:val="20"/>
          <w:szCs w:val="20"/>
        </w:rPr>
        <w:t xml:space="preserve"> under the Workplan and Budget includes</w:t>
      </w:r>
      <w:r w:rsidR="00B102AF">
        <w:rPr>
          <w:rFonts w:ascii="Arial" w:hAnsi="Arial" w:cs="Arial"/>
          <w:sz w:val="20"/>
          <w:szCs w:val="20"/>
        </w:rPr>
        <w:t xml:space="preserve"> the development of a Sustainable Financing strategy to </w:t>
      </w:r>
      <w:r w:rsidR="0031155D">
        <w:rPr>
          <w:rFonts w:ascii="Arial" w:hAnsi="Arial" w:cs="Arial"/>
          <w:sz w:val="20"/>
          <w:szCs w:val="20"/>
        </w:rPr>
        <w:t xml:space="preserve">mobilize resources and explore financial opportunities that can </w:t>
      </w:r>
      <w:r w:rsidR="00B102AF">
        <w:rPr>
          <w:rFonts w:ascii="Arial" w:hAnsi="Arial" w:cs="Arial"/>
          <w:sz w:val="20"/>
          <w:szCs w:val="20"/>
        </w:rPr>
        <w:t>support effective implementation of the Convention and its work programme and activities.</w:t>
      </w:r>
      <w:r w:rsidR="00F71000">
        <w:rPr>
          <w:rFonts w:ascii="Arial" w:hAnsi="Arial" w:cs="Arial"/>
          <w:sz w:val="20"/>
          <w:szCs w:val="20"/>
        </w:rPr>
        <w:t xml:space="preserve"> </w:t>
      </w:r>
    </w:p>
    <w:p w14:paraId="2601E8C7" w14:textId="77777777" w:rsidR="009D041C" w:rsidRPr="00BA6E56" w:rsidRDefault="009D041C" w:rsidP="009D041C">
      <w:pPr>
        <w:spacing w:after="0"/>
        <w:jc w:val="both"/>
        <w:rPr>
          <w:rFonts w:ascii="Arial" w:hAnsi="Arial" w:cs="Arial"/>
          <w:sz w:val="20"/>
          <w:szCs w:val="20"/>
        </w:rPr>
      </w:pPr>
    </w:p>
    <w:p w14:paraId="4F7A0EB6" w14:textId="2AC81A4B" w:rsidR="008E1BE3" w:rsidRPr="00BA6E56" w:rsidRDefault="009D041C" w:rsidP="0027611F">
      <w:pPr>
        <w:spacing w:after="0"/>
        <w:rPr>
          <w:rFonts w:ascii="Arial" w:hAnsi="Arial" w:cs="Arial"/>
          <w:b/>
          <w:bCs/>
          <w:sz w:val="20"/>
          <w:szCs w:val="20"/>
        </w:rPr>
      </w:pPr>
      <w:r w:rsidRPr="00BA6E56">
        <w:rPr>
          <w:rFonts w:ascii="Arial" w:hAnsi="Arial" w:cs="Arial"/>
          <w:b/>
          <w:bCs/>
          <w:sz w:val="20"/>
          <w:szCs w:val="20"/>
        </w:rPr>
        <w:t xml:space="preserve">2. </w:t>
      </w:r>
      <w:r w:rsidR="00734A46" w:rsidRPr="00BA6E56">
        <w:rPr>
          <w:rFonts w:ascii="Arial" w:hAnsi="Arial" w:cs="Arial"/>
          <w:b/>
          <w:bCs/>
          <w:sz w:val="20"/>
          <w:szCs w:val="20"/>
        </w:rPr>
        <w:t>Purpose</w:t>
      </w:r>
      <w:r w:rsidR="0027611F" w:rsidRPr="00BA6E56">
        <w:rPr>
          <w:rFonts w:ascii="Arial" w:hAnsi="Arial" w:cs="Arial"/>
          <w:b/>
          <w:bCs/>
          <w:sz w:val="20"/>
          <w:szCs w:val="20"/>
        </w:rPr>
        <w:t>:</w:t>
      </w:r>
    </w:p>
    <w:p w14:paraId="1E719EA2" w14:textId="27E68340" w:rsidR="00734A46" w:rsidRPr="00BA6E56" w:rsidRDefault="00734A46" w:rsidP="0027611F">
      <w:pPr>
        <w:spacing w:after="0"/>
        <w:rPr>
          <w:rFonts w:ascii="Arial" w:hAnsi="Arial" w:cs="Arial"/>
          <w:sz w:val="20"/>
          <w:szCs w:val="20"/>
        </w:rPr>
      </w:pPr>
      <w:r w:rsidRPr="00BA6E56">
        <w:rPr>
          <w:rFonts w:ascii="Arial" w:hAnsi="Arial" w:cs="Arial"/>
          <w:sz w:val="20"/>
          <w:szCs w:val="20"/>
        </w:rPr>
        <w:t>The purpose of this consultancy is to:</w:t>
      </w:r>
    </w:p>
    <w:p w14:paraId="09EE9E01" w14:textId="3DFC1A4C" w:rsidR="00734A46" w:rsidRPr="00BA6E56" w:rsidRDefault="00734A46" w:rsidP="0027611F">
      <w:pPr>
        <w:pStyle w:val="ListParagraph"/>
        <w:numPr>
          <w:ilvl w:val="0"/>
          <w:numId w:val="1"/>
        </w:numPr>
        <w:spacing w:after="0" w:line="360" w:lineRule="auto"/>
        <w:rPr>
          <w:rFonts w:ascii="Arial" w:hAnsi="Arial" w:cs="Arial"/>
          <w:sz w:val="20"/>
          <w:szCs w:val="20"/>
        </w:rPr>
      </w:pPr>
      <w:r w:rsidRPr="00BA6E56">
        <w:rPr>
          <w:rFonts w:ascii="Arial" w:hAnsi="Arial" w:cs="Arial"/>
          <w:sz w:val="20"/>
          <w:szCs w:val="20"/>
        </w:rPr>
        <w:t xml:space="preserve">Assess the </w:t>
      </w:r>
      <w:r w:rsidR="00BF10A1">
        <w:rPr>
          <w:rFonts w:ascii="Arial" w:hAnsi="Arial" w:cs="Arial"/>
          <w:sz w:val="20"/>
          <w:szCs w:val="20"/>
        </w:rPr>
        <w:t xml:space="preserve">financing of the Noumea </w:t>
      </w:r>
      <w:r w:rsidRPr="00BA6E56">
        <w:rPr>
          <w:rFonts w:ascii="Arial" w:hAnsi="Arial" w:cs="Arial"/>
          <w:sz w:val="20"/>
          <w:szCs w:val="20"/>
        </w:rPr>
        <w:t>Convention;</w:t>
      </w:r>
    </w:p>
    <w:p w14:paraId="59C3BBDC" w14:textId="19F4B7CE" w:rsidR="00734A46" w:rsidRPr="00BA6E56" w:rsidRDefault="00734A46" w:rsidP="0027611F">
      <w:pPr>
        <w:pStyle w:val="ListParagraph"/>
        <w:numPr>
          <w:ilvl w:val="0"/>
          <w:numId w:val="1"/>
        </w:numPr>
        <w:spacing w:after="0" w:line="360" w:lineRule="auto"/>
        <w:rPr>
          <w:rFonts w:ascii="Arial" w:hAnsi="Arial" w:cs="Arial"/>
          <w:sz w:val="20"/>
          <w:szCs w:val="20"/>
        </w:rPr>
      </w:pPr>
      <w:r w:rsidRPr="00BA6E56">
        <w:rPr>
          <w:rFonts w:ascii="Arial" w:hAnsi="Arial" w:cs="Arial"/>
          <w:sz w:val="20"/>
          <w:szCs w:val="20"/>
        </w:rPr>
        <w:t>Develop a sustainable financ</w:t>
      </w:r>
      <w:r w:rsidR="00483815">
        <w:rPr>
          <w:rFonts w:ascii="Arial" w:hAnsi="Arial" w:cs="Arial"/>
          <w:sz w:val="20"/>
          <w:szCs w:val="20"/>
        </w:rPr>
        <w:t>ing</w:t>
      </w:r>
      <w:r w:rsidRPr="00BA6E56">
        <w:rPr>
          <w:rFonts w:ascii="Arial" w:hAnsi="Arial" w:cs="Arial"/>
          <w:sz w:val="20"/>
          <w:szCs w:val="20"/>
        </w:rPr>
        <w:t xml:space="preserve"> strategy;</w:t>
      </w:r>
      <w:r w:rsidR="00246D04">
        <w:rPr>
          <w:rFonts w:ascii="Arial" w:hAnsi="Arial" w:cs="Arial"/>
          <w:sz w:val="20"/>
          <w:szCs w:val="20"/>
        </w:rPr>
        <w:t xml:space="preserve"> and </w:t>
      </w:r>
    </w:p>
    <w:p w14:paraId="4F7BA860" w14:textId="4C7EDA5D" w:rsidR="00734A46" w:rsidRPr="00BA6E56" w:rsidRDefault="00734A46" w:rsidP="0027611F">
      <w:pPr>
        <w:pStyle w:val="ListParagraph"/>
        <w:numPr>
          <w:ilvl w:val="0"/>
          <w:numId w:val="1"/>
        </w:numPr>
        <w:spacing w:after="0" w:line="360" w:lineRule="auto"/>
        <w:rPr>
          <w:rFonts w:ascii="Arial" w:hAnsi="Arial" w:cs="Arial"/>
          <w:sz w:val="20"/>
          <w:szCs w:val="20"/>
        </w:rPr>
      </w:pPr>
      <w:r w:rsidRPr="00BA6E56">
        <w:rPr>
          <w:rFonts w:ascii="Arial" w:hAnsi="Arial" w:cs="Arial"/>
          <w:sz w:val="20"/>
          <w:szCs w:val="20"/>
        </w:rPr>
        <w:t xml:space="preserve">Provide clear, implementable recommendations to ensure long-term financial stability. </w:t>
      </w:r>
    </w:p>
    <w:p w14:paraId="326590DC" w14:textId="77777777" w:rsidR="009D041C" w:rsidRPr="00BA6E56" w:rsidRDefault="009D041C" w:rsidP="009D041C">
      <w:pPr>
        <w:pStyle w:val="ListParagraph"/>
        <w:spacing w:after="0" w:line="360" w:lineRule="auto"/>
        <w:rPr>
          <w:rFonts w:ascii="Arial" w:hAnsi="Arial" w:cs="Arial"/>
          <w:sz w:val="20"/>
          <w:szCs w:val="20"/>
        </w:rPr>
      </w:pPr>
    </w:p>
    <w:p w14:paraId="2F8DD4F9" w14:textId="58447AB2" w:rsidR="00734A46" w:rsidRPr="00BA6E56" w:rsidRDefault="009D041C" w:rsidP="009D041C">
      <w:pPr>
        <w:spacing w:after="0"/>
        <w:rPr>
          <w:rFonts w:ascii="Arial" w:hAnsi="Arial" w:cs="Arial"/>
          <w:b/>
          <w:bCs/>
          <w:sz w:val="20"/>
          <w:szCs w:val="20"/>
        </w:rPr>
      </w:pPr>
      <w:r w:rsidRPr="00BA6E56">
        <w:rPr>
          <w:rFonts w:ascii="Arial" w:hAnsi="Arial" w:cs="Arial"/>
          <w:b/>
          <w:bCs/>
          <w:sz w:val="20"/>
          <w:szCs w:val="20"/>
        </w:rPr>
        <w:t xml:space="preserve">3. </w:t>
      </w:r>
      <w:r w:rsidR="000D5468" w:rsidRPr="00BA6E56">
        <w:rPr>
          <w:rFonts w:ascii="Arial" w:hAnsi="Arial" w:cs="Arial"/>
          <w:b/>
          <w:bCs/>
          <w:sz w:val="20"/>
          <w:szCs w:val="20"/>
        </w:rPr>
        <w:t>Scope of</w:t>
      </w:r>
      <w:r w:rsidRPr="00BA6E56">
        <w:rPr>
          <w:rFonts w:ascii="Arial" w:hAnsi="Arial" w:cs="Arial"/>
          <w:b/>
          <w:bCs/>
          <w:sz w:val="20"/>
          <w:szCs w:val="20"/>
        </w:rPr>
        <w:t xml:space="preserve"> Services</w:t>
      </w:r>
      <w:r w:rsidR="0027611F" w:rsidRPr="00BA6E56">
        <w:rPr>
          <w:rFonts w:ascii="Arial" w:hAnsi="Arial" w:cs="Arial"/>
          <w:b/>
          <w:bCs/>
          <w:sz w:val="20"/>
          <w:szCs w:val="20"/>
        </w:rPr>
        <w:t>:</w:t>
      </w:r>
    </w:p>
    <w:p w14:paraId="5B24CFC0" w14:textId="59F14698" w:rsidR="00FC17F2" w:rsidRDefault="0027611F" w:rsidP="00F73BCC">
      <w:pPr>
        <w:spacing w:after="0"/>
        <w:rPr>
          <w:rFonts w:ascii="Arial" w:hAnsi="Arial" w:cs="Arial"/>
          <w:sz w:val="20"/>
          <w:szCs w:val="20"/>
        </w:rPr>
      </w:pPr>
      <w:r w:rsidRPr="00BA6E56">
        <w:rPr>
          <w:rFonts w:ascii="Arial" w:hAnsi="Arial" w:cs="Arial"/>
          <w:sz w:val="20"/>
          <w:szCs w:val="20"/>
        </w:rPr>
        <w:t xml:space="preserve">The Consultant </w:t>
      </w:r>
      <w:r w:rsidR="000D5468" w:rsidRPr="00BA6E56">
        <w:rPr>
          <w:rFonts w:ascii="Arial" w:hAnsi="Arial" w:cs="Arial"/>
          <w:sz w:val="20"/>
          <w:szCs w:val="20"/>
        </w:rPr>
        <w:t>is expected to</w:t>
      </w:r>
      <w:r w:rsidRPr="00BA6E56">
        <w:rPr>
          <w:rFonts w:ascii="Arial" w:hAnsi="Arial" w:cs="Arial"/>
          <w:sz w:val="20"/>
          <w:szCs w:val="20"/>
        </w:rPr>
        <w:t>:</w:t>
      </w:r>
    </w:p>
    <w:p w14:paraId="540CB6C1" w14:textId="77777777" w:rsidR="00200E0E" w:rsidRDefault="00200E0E" w:rsidP="00F73BCC">
      <w:pPr>
        <w:spacing w:after="0"/>
        <w:rPr>
          <w:rFonts w:ascii="Arial" w:hAnsi="Arial" w:cs="Arial"/>
          <w:sz w:val="20"/>
          <w:szCs w:val="20"/>
        </w:rPr>
      </w:pPr>
    </w:p>
    <w:p w14:paraId="127BD17F" w14:textId="20FF769D" w:rsidR="0027611F" w:rsidRPr="00BA6E56" w:rsidRDefault="00514AB0" w:rsidP="00BF10A1">
      <w:pPr>
        <w:pStyle w:val="ListParagraph"/>
        <w:numPr>
          <w:ilvl w:val="0"/>
          <w:numId w:val="4"/>
        </w:numPr>
        <w:spacing w:after="0"/>
        <w:jc w:val="both"/>
        <w:rPr>
          <w:rFonts w:ascii="Arial" w:hAnsi="Arial" w:cs="Arial"/>
          <w:sz w:val="20"/>
          <w:szCs w:val="20"/>
        </w:rPr>
      </w:pPr>
      <w:r w:rsidRPr="00BA6E56">
        <w:rPr>
          <w:rFonts w:ascii="Arial" w:hAnsi="Arial" w:cs="Arial"/>
          <w:sz w:val="20"/>
          <w:szCs w:val="20"/>
        </w:rPr>
        <w:t>Conduct a comprehensive review and assessment of all</w:t>
      </w:r>
      <w:r w:rsidR="0027611F" w:rsidRPr="00BA6E56">
        <w:rPr>
          <w:rFonts w:ascii="Arial" w:hAnsi="Arial" w:cs="Arial"/>
          <w:sz w:val="20"/>
          <w:szCs w:val="20"/>
        </w:rPr>
        <w:t xml:space="preserve"> existing funding </w:t>
      </w:r>
      <w:r w:rsidR="00BA359E" w:rsidRPr="00BA6E56">
        <w:rPr>
          <w:rFonts w:ascii="Arial" w:hAnsi="Arial" w:cs="Arial"/>
          <w:sz w:val="20"/>
          <w:szCs w:val="20"/>
        </w:rPr>
        <w:t>mechanism</w:t>
      </w:r>
      <w:r w:rsidRPr="00BA6E56">
        <w:rPr>
          <w:rFonts w:ascii="Arial" w:hAnsi="Arial" w:cs="Arial"/>
          <w:sz w:val="20"/>
          <w:szCs w:val="20"/>
        </w:rPr>
        <w:t>s</w:t>
      </w:r>
      <w:r w:rsidR="00BA359E" w:rsidRPr="00BA6E56">
        <w:rPr>
          <w:rFonts w:ascii="Arial" w:hAnsi="Arial" w:cs="Arial"/>
          <w:sz w:val="20"/>
          <w:szCs w:val="20"/>
        </w:rPr>
        <w:t xml:space="preserve"> and revenue streams</w:t>
      </w:r>
      <w:r w:rsidRPr="00BA6E56">
        <w:rPr>
          <w:rFonts w:ascii="Arial" w:hAnsi="Arial" w:cs="Arial"/>
          <w:sz w:val="20"/>
          <w:szCs w:val="20"/>
        </w:rPr>
        <w:t xml:space="preserve"> under the Noumea Convention</w:t>
      </w:r>
      <w:r w:rsidR="00BA359E" w:rsidRPr="00BA6E56">
        <w:rPr>
          <w:rFonts w:ascii="Arial" w:hAnsi="Arial" w:cs="Arial"/>
          <w:sz w:val="20"/>
          <w:szCs w:val="20"/>
        </w:rPr>
        <w:t xml:space="preserve"> (Party contributions and project funds);</w:t>
      </w:r>
    </w:p>
    <w:p w14:paraId="5D4A6BCE" w14:textId="0D233B32" w:rsidR="00F6027B" w:rsidRPr="00BA6E56" w:rsidRDefault="000172C2" w:rsidP="00BF10A1">
      <w:pPr>
        <w:pStyle w:val="ListParagraph"/>
        <w:numPr>
          <w:ilvl w:val="0"/>
          <w:numId w:val="4"/>
        </w:numPr>
        <w:jc w:val="both"/>
        <w:rPr>
          <w:rFonts w:ascii="Arial" w:hAnsi="Arial" w:cs="Arial"/>
          <w:sz w:val="20"/>
          <w:szCs w:val="20"/>
        </w:rPr>
      </w:pPr>
      <w:r w:rsidRPr="00BA6E56">
        <w:rPr>
          <w:rFonts w:ascii="Arial" w:hAnsi="Arial" w:cs="Arial"/>
          <w:sz w:val="20"/>
          <w:szCs w:val="20"/>
        </w:rPr>
        <w:t>Provide a financial projection of the funding requirements</w:t>
      </w:r>
      <w:r w:rsidR="007774E2" w:rsidRPr="00BA6E56">
        <w:rPr>
          <w:rFonts w:ascii="Arial" w:hAnsi="Arial" w:cs="Arial"/>
          <w:sz w:val="20"/>
          <w:szCs w:val="20"/>
        </w:rPr>
        <w:t xml:space="preserve"> to fulfill and deliver the work of the Noumea Convention </w:t>
      </w:r>
      <w:r w:rsidR="006406A9">
        <w:rPr>
          <w:rFonts w:ascii="Arial" w:hAnsi="Arial" w:cs="Arial"/>
          <w:sz w:val="20"/>
          <w:szCs w:val="20"/>
        </w:rPr>
        <w:t>under the approved Workplan and Budget</w:t>
      </w:r>
      <w:r w:rsidR="008C31F3" w:rsidRPr="00BA6E56">
        <w:rPr>
          <w:rFonts w:ascii="Arial" w:hAnsi="Arial" w:cs="Arial"/>
          <w:sz w:val="20"/>
          <w:szCs w:val="20"/>
        </w:rPr>
        <w:t>;</w:t>
      </w:r>
    </w:p>
    <w:p w14:paraId="22F44F63" w14:textId="7BE248E2" w:rsidR="008C31F3" w:rsidRDefault="008C31F3" w:rsidP="00BF10A1">
      <w:pPr>
        <w:pStyle w:val="ListParagraph"/>
        <w:numPr>
          <w:ilvl w:val="0"/>
          <w:numId w:val="4"/>
        </w:numPr>
        <w:jc w:val="both"/>
        <w:rPr>
          <w:rFonts w:ascii="Arial" w:hAnsi="Arial" w:cs="Arial"/>
          <w:sz w:val="20"/>
          <w:szCs w:val="20"/>
        </w:rPr>
      </w:pPr>
      <w:r w:rsidRPr="00BA6E56">
        <w:rPr>
          <w:rFonts w:ascii="Arial" w:hAnsi="Arial" w:cs="Arial"/>
          <w:sz w:val="20"/>
          <w:szCs w:val="20"/>
        </w:rPr>
        <w:t xml:space="preserve">Assess donor funding landscape </w:t>
      </w:r>
      <w:r w:rsidR="00BF10A1">
        <w:rPr>
          <w:rFonts w:ascii="Arial" w:hAnsi="Arial" w:cs="Arial"/>
          <w:sz w:val="20"/>
          <w:szCs w:val="20"/>
        </w:rPr>
        <w:t>including the financing of other Regional Seas Programme</w:t>
      </w:r>
      <w:r w:rsidR="00AA76CF" w:rsidRPr="00BA6E56">
        <w:rPr>
          <w:rFonts w:ascii="Arial" w:hAnsi="Arial" w:cs="Arial"/>
          <w:sz w:val="20"/>
          <w:szCs w:val="20"/>
        </w:rPr>
        <w:t xml:space="preserve"> and identify strategies to assess and mobilise funding sources to generate sustainable financing for the Noumea Convention;</w:t>
      </w:r>
    </w:p>
    <w:p w14:paraId="0BC117C2" w14:textId="159A6D66" w:rsidR="00EE36D7" w:rsidRDefault="00EE36D7" w:rsidP="00BF10A1">
      <w:pPr>
        <w:pStyle w:val="ListParagraph"/>
        <w:numPr>
          <w:ilvl w:val="0"/>
          <w:numId w:val="4"/>
        </w:numPr>
        <w:jc w:val="both"/>
        <w:rPr>
          <w:rFonts w:ascii="Arial" w:hAnsi="Arial" w:cs="Arial"/>
          <w:sz w:val="20"/>
          <w:szCs w:val="20"/>
        </w:rPr>
      </w:pPr>
      <w:r>
        <w:rPr>
          <w:rFonts w:ascii="Arial" w:hAnsi="Arial" w:cs="Arial"/>
          <w:sz w:val="20"/>
          <w:szCs w:val="20"/>
        </w:rPr>
        <w:lastRenderedPageBreak/>
        <w:t>Identif</w:t>
      </w:r>
      <w:r w:rsidR="003C56B6">
        <w:rPr>
          <w:rFonts w:ascii="Arial" w:hAnsi="Arial" w:cs="Arial"/>
          <w:sz w:val="20"/>
          <w:szCs w:val="20"/>
        </w:rPr>
        <w:t xml:space="preserve">y options for increased funding assistance </w:t>
      </w:r>
      <w:r w:rsidR="00386A48">
        <w:rPr>
          <w:rFonts w:ascii="Arial" w:hAnsi="Arial" w:cs="Arial"/>
          <w:sz w:val="20"/>
          <w:szCs w:val="20"/>
        </w:rPr>
        <w:t xml:space="preserve">and Parties’ contributions </w:t>
      </w:r>
      <w:r w:rsidR="003C56B6">
        <w:rPr>
          <w:rFonts w:ascii="Arial" w:hAnsi="Arial" w:cs="Arial"/>
          <w:sz w:val="20"/>
          <w:szCs w:val="20"/>
        </w:rPr>
        <w:t>to the Noumea Convention;</w:t>
      </w:r>
    </w:p>
    <w:p w14:paraId="23881721" w14:textId="6C208480" w:rsidR="006F41F8" w:rsidRPr="00BA6E56" w:rsidRDefault="006F41F8" w:rsidP="00BF10A1">
      <w:pPr>
        <w:pStyle w:val="ListParagraph"/>
        <w:numPr>
          <w:ilvl w:val="0"/>
          <w:numId w:val="4"/>
        </w:numPr>
        <w:jc w:val="both"/>
        <w:rPr>
          <w:rFonts w:ascii="Arial" w:hAnsi="Arial" w:cs="Arial"/>
          <w:sz w:val="20"/>
          <w:szCs w:val="20"/>
        </w:rPr>
      </w:pPr>
      <w:r>
        <w:rPr>
          <w:rFonts w:ascii="Arial" w:hAnsi="Arial" w:cs="Arial"/>
          <w:sz w:val="20"/>
          <w:szCs w:val="20"/>
        </w:rPr>
        <w:t>Identify and consider options for the development of a financial mechanism to support non-Parties to ratify the Noumea Convention</w:t>
      </w:r>
      <w:r w:rsidR="00B36016">
        <w:rPr>
          <w:rFonts w:ascii="Arial" w:hAnsi="Arial" w:cs="Arial"/>
          <w:sz w:val="20"/>
          <w:szCs w:val="20"/>
        </w:rPr>
        <w:t>;</w:t>
      </w:r>
      <w:r w:rsidR="0075656B">
        <w:rPr>
          <w:rFonts w:ascii="Arial" w:hAnsi="Arial" w:cs="Arial"/>
          <w:sz w:val="20"/>
          <w:szCs w:val="20"/>
        </w:rPr>
        <w:t xml:space="preserve"> and</w:t>
      </w:r>
    </w:p>
    <w:p w14:paraId="3B84984D" w14:textId="18E6A52F" w:rsidR="00B002B9" w:rsidRPr="00BA6E56" w:rsidRDefault="00AC0C7C" w:rsidP="00B002B9">
      <w:pPr>
        <w:pStyle w:val="ListParagraph"/>
        <w:numPr>
          <w:ilvl w:val="0"/>
          <w:numId w:val="4"/>
        </w:numPr>
        <w:rPr>
          <w:rFonts w:ascii="Arial" w:hAnsi="Arial" w:cs="Arial"/>
          <w:sz w:val="20"/>
          <w:szCs w:val="20"/>
        </w:rPr>
      </w:pPr>
      <w:r w:rsidRPr="00BA6E56">
        <w:rPr>
          <w:rFonts w:ascii="Arial" w:hAnsi="Arial" w:cs="Arial"/>
          <w:sz w:val="20"/>
          <w:szCs w:val="20"/>
        </w:rPr>
        <w:t>Pr</w:t>
      </w:r>
      <w:r w:rsidR="009708EE" w:rsidRPr="00BA6E56">
        <w:rPr>
          <w:rFonts w:ascii="Arial" w:hAnsi="Arial" w:cs="Arial"/>
          <w:sz w:val="20"/>
          <w:szCs w:val="20"/>
        </w:rPr>
        <w:t xml:space="preserve">epare </w:t>
      </w:r>
      <w:r w:rsidR="006F41F8">
        <w:rPr>
          <w:rFonts w:ascii="Arial" w:hAnsi="Arial" w:cs="Arial"/>
          <w:sz w:val="20"/>
          <w:szCs w:val="20"/>
        </w:rPr>
        <w:t>and develop a Sustainable Financing Strategy</w:t>
      </w:r>
      <w:r w:rsidR="009C205C">
        <w:rPr>
          <w:rFonts w:ascii="Arial" w:hAnsi="Arial" w:cs="Arial"/>
          <w:sz w:val="20"/>
          <w:szCs w:val="20"/>
        </w:rPr>
        <w:t xml:space="preserve"> for the Noumea Convention</w:t>
      </w:r>
      <w:r w:rsidR="00005B46">
        <w:rPr>
          <w:rFonts w:ascii="Arial" w:hAnsi="Arial" w:cs="Arial"/>
          <w:sz w:val="20"/>
          <w:szCs w:val="20"/>
        </w:rPr>
        <w:t xml:space="preserve"> including a roadmap and recommendations</w:t>
      </w:r>
      <w:r w:rsidR="0075656B">
        <w:rPr>
          <w:rFonts w:ascii="Arial" w:hAnsi="Arial" w:cs="Arial"/>
          <w:sz w:val="20"/>
          <w:szCs w:val="20"/>
        </w:rPr>
        <w:t>.</w:t>
      </w:r>
    </w:p>
    <w:p w14:paraId="418CBAD9" w14:textId="77777777" w:rsidR="007E70C5" w:rsidRPr="005F1197" w:rsidRDefault="007E70C5" w:rsidP="007E70C5">
      <w:pPr>
        <w:pStyle w:val="ListParagraph"/>
        <w:rPr>
          <w:rFonts w:ascii="Arial" w:hAnsi="Arial" w:cs="Arial"/>
          <w:sz w:val="20"/>
          <w:szCs w:val="20"/>
        </w:rPr>
      </w:pPr>
    </w:p>
    <w:tbl>
      <w:tblPr>
        <w:tblStyle w:val="TableGrid"/>
        <w:tblW w:w="9634" w:type="dxa"/>
        <w:tblLook w:val="04A0" w:firstRow="1" w:lastRow="0" w:firstColumn="1" w:lastColumn="0" w:noHBand="0" w:noVBand="1"/>
      </w:tblPr>
      <w:tblGrid>
        <w:gridCol w:w="2263"/>
        <w:gridCol w:w="4503"/>
        <w:gridCol w:w="2868"/>
      </w:tblGrid>
      <w:tr w:rsidR="001A21AE" w:rsidRPr="001A21AE" w14:paraId="030AAAA4" w14:textId="77777777" w:rsidTr="005F1197">
        <w:tc>
          <w:tcPr>
            <w:tcW w:w="2263" w:type="dxa"/>
            <w:shd w:val="clear" w:color="auto" w:fill="C1E4F5" w:themeFill="accent1" w:themeFillTint="33"/>
          </w:tcPr>
          <w:p w14:paraId="7178B5B5" w14:textId="77777777" w:rsidR="001A21AE" w:rsidRPr="001A21AE" w:rsidRDefault="001A21AE" w:rsidP="00FC15B6">
            <w:p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rPr>
                <w:rFonts w:ascii="Arial" w:hAnsi="Arial" w:cs="Arial"/>
                <w:b/>
                <w:bCs/>
                <w:bdr w:val="none" w:sz="0" w:space="0" w:color="auto"/>
              </w:rPr>
            </w:pPr>
            <w:r w:rsidRPr="001A21AE">
              <w:rPr>
                <w:rFonts w:ascii="Arial" w:hAnsi="Arial" w:cs="Arial"/>
                <w:b/>
                <w:bCs/>
                <w:bdr w:val="none" w:sz="0" w:space="0" w:color="auto"/>
              </w:rPr>
              <w:t>Task</w:t>
            </w:r>
          </w:p>
        </w:tc>
        <w:tc>
          <w:tcPr>
            <w:tcW w:w="4503" w:type="dxa"/>
            <w:shd w:val="clear" w:color="auto" w:fill="C1E4F5" w:themeFill="accent1" w:themeFillTint="33"/>
          </w:tcPr>
          <w:p w14:paraId="3EDFDB1D" w14:textId="77777777" w:rsidR="001A21AE" w:rsidRPr="001A21AE" w:rsidRDefault="001A21AE" w:rsidP="00FC15B6">
            <w:p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rPr>
                <w:rFonts w:ascii="Arial" w:hAnsi="Arial" w:cs="Arial"/>
                <w:b/>
                <w:bCs/>
                <w:bdr w:val="none" w:sz="0" w:space="0" w:color="auto"/>
              </w:rPr>
            </w:pPr>
            <w:r w:rsidRPr="001A21AE">
              <w:rPr>
                <w:rFonts w:ascii="Arial" w:hAnsi="Arial" w:cs="Arial"/>
                <w:b/>
                <w:bCs/>
                <w:bdr w:val="none" w:sz="0" w:space="0" w:color="auto"/>
              </w:rPr>
              <w:t>Description</w:t>
            </w:r>
          </w:p>
        </w:tc>
        <w:tc>
          <w:tcPr>
            <w:tcW w:w="2868" w:type="dxa"/>
            <w:shd w:val="clear" w:color="auto" w:fill="C1E4F5" w:themeFill="accent1" w:themeFillTint="33"/>
          </w:tcPr>
          <w:p w14:paraId="2CE5B2D7" w14:textId="77777777" w:rsidR="001A21AE" w:rsidRPr="001A21AE" w:rsidRDefault="001A21AE" w:rsidP="00FC15B6">
            <w:p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rPr>
                <w:rFonts w:ascii="Arial" w:hAnsi="Arial" w:cs="Arial"/>
                <w:b/>
                <w:bCs/>
                <w:bdr w:val="none" w:sz="0" w:space="0" w:color="auto"/>
              </w:rPr>
            </w:pPr>
            <w:r w:rsidRPr="001A21AE">
              <w:rPr>
                <w:rFonts w:ascii="Arial" w:hAnsi="Arial" w:cs="Arial"/>
                <w:b/>
                <w:bCs/>
                <w:bdr w:val="none" w:sz="0" w:space="0" w:color="auto"/>
              </w:rPr>
              <w:t>Deliverables</w:t>
            </w:r>
          </w:p>
        </w:tc>
      </w:tr>
      <w:tr w:rsidR="001A21AE" w:rsidRPr="001A21AE" w14:paraId="1D463F54" w14:textId="77777777" w:rsidTr="00FC15B6">
        <w:tc>
          <w:tcPr>
            <w:tcW w:w="2263" w:type="dxa"/>
          </w:tcPr>
          <w:p w14:paraId="4B410276" w14:textId="3A03BC95" w:rsidR="001A21AE" w:rsidRPr="001A21AE" w:rsidRDefault="005F1197" w:rsidP="001A21A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09"/>
              <w:contextualSpacing/>
              <w:rPr>
                <w:rFonts w:ascii="Arial" w:eastAsia="Times New Roman" w:hAnsi="Arial" w:cs="Arial"/>
                <w:b/>
                <w:bCs/>
                <w:bdr w:val="none" w:sz="0" w:space="0" w:color="auto" w:frame="1"/>
              </w:rPr>
            </w:pPr>
            <w:r>
              <w:rPr>
                <w:rFonts w:ascii="Arial" w:eastAsia="Times New Roman" w:hAnsi="Arial" w:cs="Arial"/>
                <w:b/>
                <w:bCs/>
                <w:bdr w:val="none" w:sz="0" w:space="0" w:color="auto" w:frame="1"/>
              </w:rPr>
              <w:t xml:space="preserve">Inception Report </w:t>
            </w:r>
          </w:p>
        </w:tc>
        <w:tc>
          <w:tcPr>
            <w:tcW w:w="4503" w:type="dxa"/>
          </w:tcPr>
          <w:p w14:paraId="18083B25" w14:textId="4CC295F7" w:rsidR="001A21AE" w:rsidRPr="001A21AE" w:rsidRDefault="00D23159" w:rsidP="00FC15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dr w:val="none" w:sz="0" w:space="0" w:color="auto"/>
              </w:rPr>
            </w:pPr>
            <w:r>
              <w:rPr>
                <w:rFonts w:ascii="Arial" w:hAnsi="Arial" w:cs="Arial"/>
                <w:bdr w:val="none" w:sz="0" w:space="0" w:color="auto"/>
              </w:rPr>
              <w:t xml:space="preserve">Meeting with Legal Services &amp; Governing Bodies Department </w:t>
            </w:r>
            <w:r w:rsidR="00BF10A1">
              <w:rPr>
                <w:rFonts w:ascii="Arial" w:hAnsi="Arial" w:cs="Arial"/>
                <w:bdr w:val="none" w:sz="0" w:space="0" w:color="auto"/>
              </w:rPr>
              <w:t xml:space="preserve">and the Finance Department </w:t>
            </w:r>
            <w:r>
              <w:rPr>
                <w:rFonts w:ascii="Arial" w:hAnsi="Arial" w:cs="Arial"/>
                <w:bdr w:val="none" w:sz="0" w:space="0" w:color="auto"/>
              </w:rPr>
              <w:t xml:space="preserve">to discuss the delivery of the Consultancy, the Workplan and list of documents for review </w:t>
            </w:r>
            <w:r w:rsidR="001A21AE" w:rsidRPr="001A21AE">
              <w:rPr>
                <w:rFonts w:ascii="Arial" w:hAnsi="Arial" w:cs="Arial"/>
                <w:bdr w:val="none" w:sz="0" w:space="0" w:color="auto"/>
              </w:rPr>
              <w:t xml:space="preserve"> </w:t>
            </w:r>
          </w:p>
        </w:tc>
        <w:tc>
          <w:tcPr>
            <w:tcW w:w="2868" w:type="dxa"/>
          </w:tcPr>
          <w:p w14:paraId="0ED1AF7E" w14:textId="077E09EC" w:rsidR="001A21AE" w:rsidRPr="001A21AE" w:rsidRDefault="00D23159" w:rsidP="00FC15B6">
            <w:p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rPr>
                <w:rFonts w:ascii="Arial" w:hAnsi="Arial" w:cs="Arial"/>
                <w:bdr w:val="none" w:sz="0" w:space="0" w:color="auto"/>
              </w:rPr>
            </w:pPr>
            <w:r>
              <w:rPr>
                <w:rFonts w:ascii="Arial" w:hAnsi="Arial" w:cs="Arial"/>
                <w:bdr w:val="none" w:sz="0" w:space="0" w:color="auto"/>
              </w:rPr>
              <w:t xml:space="preserve">Inception meeting report – including Agreed Workplan </w:t>
            </w:r>
            <w:r w:rsidR="001A21AE" w:rsidRPr="001A21AE">
              <w:rPr>
                <w:rFonts w:ascii="Arial" w:hAnsi="Arial" w:cs="Arial"/>
                <w:bdr w:val="none" w:sz="0" w:space="0" w:color="auto"/>
              </w:rPr>
              <w:t xml:space="preserve"> </w:t>
            </w:r>
          </w:p>
        </w:tc>
      </w:tr>
      <w:tr w:rsidR="001A21AE" w:rsidRPr="001A21AE" w14:paraId="06982612" w14:textId="77777777" w:rsidTr="00FC15B6">
        <w:tc>
          <w:tcPr>
            <w:tcW w:w="2263" w:type="dxa"/>
          </w:tcPr>
          <w:p w14:paraId="2AF84917" w14:textId="16A7DFA6" w:rsidR="001A21AE" w:rsidRPr="001A21AE" w:rsidRDefault="00D23159" w:rsidP="001A21A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ind w:left="309"/>
              <w:contextualSpacing/>
              <w:rPr>
                <w:rFonts w:ascii="Arial" w:eastAsia="Times New Roman" w:hAnsi="Arial" w:cs="Arial"/>
                <w:b/>
                <w:bCs/>
                <w:bdr w:val="none" w:sz="0" w:space="0" w:color="auto" w:frame="1"/>
              </w:rPr>
            </w:pPr>
            <w:r>
              <w:rPr>
                <w:rFonts w:ascii="Arial" w:eastAsia="Times New Roman" w:hAnsi="Arial" w:cs="Arial"/>
                <w:b/>
                <w:bCs/>
                <w:bdr w:val="none" w:sz="0" w:space="0" w:color="auto" w:frame="1"/>
              </w:rPr>
              <w:t xml:space="preserve">Review Report </w:t>
            </w:r>
            <w:r w:rsidR="001A21AE" w:rsidRPr="001A21AE">
              <w:rPr>
                <w:rFonts w:ascii="Arial" w:eastAsia="Times New Roman" w:hAnsi="Arial" w:cs="Arial"/>
                <w:b/>
                <w:bCs/>
                <w:bdr w:val="none" w:sz="0" w:space="0" w:color="auto" w:frame="1"/>
              </w:rPr>
              <w:t xml:space="preserve">  </w:t>
            </w:r>
          </w:p>
        </w:tc>
        <w:tc>
          <w:tcPr>
            <w:tcW w:w="4503" w:type="dxa"/>
          </w:tcPr>
          <w:p w14:paraId="1218CD74" w14:textId="6AB96E0E" w:rsidR="001A21AE" w:rsidRDefault="00D23159" w:rsidP="00876FDB">
            <w:p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jc w:val="both"/>
              <w:rPr>
                <w:rFonts w:ascii="Arial" w:hAnsi="Arial" w:cs="Arial"/>
                <w:bdr w:val="none" w:sz="0" w:space="0" w:color="auto"/>
              </w:rPr>
            </w:pPr>
            <w:r>
              <w:rPr>
                <w:rFonts w:ascii="Arial" w:hAnsi="Arial" w:cs="Arial"/>
                <w:bdr w:val="none" w:sz="0" w:space="0" w:color="auto"/>
              </w:rPr>
              <w:t xml:space="preserve">Prepare </w:t>
            </w:r>
            <w:r w:rsidR="0066550D">
              <w:rPr>
                <w:rFonts w:ascii="Arial" w:hAnsi="Arial" w:cs="Arial"/>
                <w:bdr w:val="none" w:sz="0" w:space="0" w:color="auto"/>
              </w:rPr>
              <w:t xml:space="preserve">a report based on a comprehensive review and assessment of all existing funding mechanisms and revenue streams under the </w:t>
            </w:r>
            <w:r w:rsidR="002F1368">
              <w:rPr>
                <w:rFonts w:ascii="Arial" w:hAnsi="Arial" w:cs="Arial"/>
                <w:bdr w:val="none" w:sz="0" w:space="0" w:color="auto"/>
              </w:rPr>
              <w:t xml:space="preserve">Noumea </w:t>
            </w:r>
            <w:r w:rsidR="0066550D">
              <w:rPr>
                <w:rFonts w:ascii="Arial" w:hAnsi="Arial" w:cs="Arial"/>
                <w:bdr w:val="none" w:sz="0" w:space="0" w:color="auto"/>
              </w:rPr>
              <w:t>Convention</w:t>
            </w:r>
            <w:r w:rsidR="002F1368">
              <w:rPr>
                <w:rFonts w:ascii="Arial" w:hAnsi="Arial" w:cs="Arial"/>
                <w:bdr w:val="none" w:sz="0" w:space="0" w:color="auto"/>
              </w:rPr>
              <w:t xml:space="preserve">. </w:t>
            </w:r>
            <w:r w:rsidR="002D3DCD">
              <w:rPr>
                <w:rFonts w:ascii="Arial" w:hAnsi="Arial" w:cs="Arial"/>
                <w:bdr w:val="none" w:sz="0" w:space="0" w:color="auto"/>
              </w:rPr>
              <w:t xml:space="preserve"> </w:t>
            </w:r>
          </w:p>
          <w:p w14:paraId="0E9ED4E1" w14:textId="77777777" w:rsidR="002D3DCD" w:rsidRDefault="002D3DCD" w:rsidP="00876FDB">
            <w:p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jc w:val="both"/>
              <w:rPr>
                <w:rFonts w:ascii="Arial" w:hAnsi="Arial" w:cs="Arial"/>
                <w:bdr w:val="none" w:sz="0" w:space="0" w:color="auto"/>
              </w:rPr>
            </w:pPr>
          </w:p>
          <w:p w14:paraId="496B12E0" w14:textId="66BFF882" w:rsidR="002D3DCD" w:rsidRPr="001A21AE" w:rsidRDefault="002D3DCD" w:rsidP="00876FDB">
            <w:p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jc w:val="both"/>
              <w:rPr>
                <w:rFonts w:ascii="Arial" w:hAnsi="Arial" w:cs="Arial"/>
                <w:bdr w:val="none" w:sz="0" w:space="0" w:color="auto"/>
              </w:rPr>
            </w:pPr>
            <w:r>
              <w:rPr>
                <w:rFonts w:ascii="Arial" w:hAnsi="Arial" w:cs="Arial"/>
                <w:bdr w:val="none" w:sz="0" w:space="0" w:color="auto"/>
              </w:rPr>
              <w:t xml:space="preserve">Consult internally with </w:t>
            </w:r>
            <w:r w:rsidR="009C205C">
              <w:rPr>
                <w:rFonts w:ascii="Arial" w:hAnsi="Arial" w:cs="Arial"/>
                <w:bdr w:val="none" w:sz="0" w:space="0" w:color="auto"/>
              </w:rPr>
              <w:t>relevant SPREP teams</w:t>
            </w:r>
            <w:r>
              <w:rPr>
                <w:rFonts w:ascii="Arial" w:hAnsi="Arial" w:cs="Arial"/>
                <w:bdr w:val="none" w:sz="0" w:space="0" w:color="auto"/>
              </w:rPr>
              <w:t xml:space="preserve"> and previous Secretariats for the Noumea Convention (the Environmental Governance Programme and the Waste Management and Pollution Control Programme)</w:t>
            </w:r>
          </w:p>
          <w:p w14:paraId="5C8E834D" w14:textId="77777777" w:rsidR="001A21AE" w:rsidRPr="001A21AE" w:rsidRDefault="001A21AE" w:rsidP="00FC15B6">
            <w:p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rPr>
                <w:rFonts w:ascii="Arial" w:hAnsi="Arial" w:cs="Arial"/>
                <w:bdr w:val="none" w:sz="0" w:space="0" w:color="auto"/>
              </w:rPr>
            </w:pPr>
          </w:p>
          <w:p w14:paraId="62500899" w14:textId="77777777" w:rsidR="001A21AE" w:rsidRPr="001A21AE" w:rsidRDefault="001A21AE" w:rsidP="00FC15B6">
            <w:p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rPr>
                <w:rFonts w:ascii="Arial" w:hAnsi="Arial" w:cs="Arial"/>
                <w:bdr w:val="none" w:sz="0" w:space="0" w:color="auto"/>
              </w:rPr>
            </w:pPr>
          </w:p>
        </w:tc>
        <w:tc>
          <w:tcPr>
            <w:tcW w:w="2868" w:type="dxa"/>
          </w:tcPr>
          <w:p w14:paraId="3366B771" w14:textId="331CFB8E" w:rsidR="001A21AE" w:rsidRPr="001A21AE" w:rsidRDefault="002D3DCD" w:rsidP="00FC15B6">
            <w:p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rPr>
                <w:rFonts w:ascii="Arial" w:hAnsi="Arial" w:cs="Arial"/>
                <w:bdr w:val="none" w:sz="0" w:space="0" w:color="auto"/>
              </w:rPr>
            </w:pPr>
            <w:r>
              <w:rPr>
                <w:rFonts w:ascii="Arial" w:hAnsi="Arial" w:cs="Arial"/>
                <w:bdr w:val="none" w:sz="0" w:space="0" w:color="auto"/>
              </w:rPr>
              <w:t xml:space="preserve">Review Report </w:t>
            </w:r>
            <w:r w:rsidR="001A21AE" w:rsidRPr="001A21AE">
              <w:rPr>
                <w:rFonts w:ascii="Arial" w:hAnsi="Arial" w:cs="Arial"/>
                <w:bdr w:val="none" w:sz="0" w:space="0" w:color="auto"/>
              </w:rPr>
              <w:t xml:space="preserve"> </w:t>
            </w:r>
          </w:p>
        </w:tc>
      </w:tr>
      <w:tr w:rsidR="001A21AE" w:rsidRPr="001A21AE" w14:paraId="4665A2FA" w14:textId="77777777" w:rsidTr="00FC15B6">
        <w:tc>
          <w:tcPr>
            <w:tcW w:w="2263" w:type="dxa"/>
          </w:tcPr>
          <w:p w14:paraId="15F946F9" w14:textId="48C9E8E5" w:rsidR="001A21AE" w:rsidRPr="001A21AE" w:rsidRDefault="002D3DCD" w:rsidP="001A21A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ind w:left="309"/>
              <w:contextualSpacing/>
              <w:rPr>
                <w:rFonts w:ascii="Arial" w:eastAsia="Times New Roman" w:hAnsi="Arial" w:cs="Arial"/>
                <w:b/>
                <w:bCs/>
                <w:bdr w:val="none" w:sz="0" w:space="0" w:color="auto" w:frame="1"/>
              </w:rPr>
            </w:pPr>
            <w:r>
              <w:rPr>
                <w:rFonts w:ascii="Arial" w:eastAsia="Times New Roman" w:hAnsi="Arial" w:cs="Arial"/>
                <w:b/>
                <w:bCs/>
                <w:bdr w:val="none" w:sz="0" w:space="0" w:color="auto" w:frame="1"/>
              </w:rPr>
              <w:t>Draft Financ</w:t>
            </w:r>
            <w:r w:rsidR="000B00E8">
              <w:rPr>
                <w:rFonts w:ascii="Arial" w:eastAsia="Times New Roman" w:hAnsi="Arial" w:cs="Arial"/>
                <w:b/>
                <w:bCs/>
                <w:bdr w:val="none" w:sz="0" w:space="0" w:color="auto" w:frame="1"/>
              </w:rPr>
              <w:t>ing</w:t>
            </w:r>
            <w:r>
              <w:rPr>
                <w:rFonts w:ascii="Arial" w:eastAsia="Times New Roman" w:hAnsi="Arial" w:cs="Arial"/>
                <w:b/>
                <w:bCs/>
                <w:bdr w:val="none" w:sz="0" w:space="0" w:color="auto" w:frame="1"/>
              </w:rPr>
              <w:t xml:space="preserve"> Strategy </w:t>
            </w:r>
            <w:r w:rsidR="001A21AE" w:rsidRPr="001A21AE">
              <w:rPr>
                <w:rFonts w:ascii="Arial" w:eastAsia="Times New Roman" w:hAnsi="Arial" w:cs="Arial"/>
                <w:b/>
                <w:bCs/>
                <w:bdr w:val="none" w:sz="0" w:space="0" w:color="auto" w:frame="1"/>
              </w:rPr>
              <w:t xml:space="preserve"> </w:t>
            </w:r>
          </w:p>
        </w:tc>
        <w:tc>
          <w:tcPr>
            <w:tcW w:w="4503" w:type="dxa"/>
          </w:tcPr>
          <w:p w14:paraId="2D437E09" w14:textId="77777777" w:rsidR="003477C1" w:rsidRDefault="002D3DCD" w:rsidP="00FC15B6">
            <w:p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rPr>
                <w:rFonts w:ascii="Arial" w:hAnsi="Arial" w:cs="Arial"/>
                <w:bdr w:val="none" w:sz="0" w:space="0" w:color="auto"/>
              </w:rPr>
            </w:pPr>
            <w:r>
              <w:rPr>
                <w:rFonts w:ascii="Arial" w:hAnsi="Arial" w:cs="Arial"/>
                <w:bdr w:val="none" w:sz="0" w:space="0" w:color="auto"/>
              </w:rPr>
              <w:t xml:space="preserve">Review of all relevant documents and consultations internally and externally with Noumea Convention Parties </w:t>
            </w:r>
          </w:p>
          <w:p w14:paraId="6842F633" w14:textId="77777777" w:rsidR="003477C1" w:rsidRDefault="003477C1" w:rsidP="00FC15B6">
            <w:p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rPr>
                <w:rFonts w:ascii="Arial" w:hAnsi="Arial" w:cs="Arial"/>
                <w:bdr w:val="none" w:sz="0" w:space="0" w:color="auto"/>
              </w:rPr>
            </w:pPr>
          </w:p>
          <w:p w14:paraId="17248E69" w14:textId="6DAD82DE" w:rsidR="001A21AE" w:rsidRPr="001A21AE" w:rsidRDefault="003477C1" w:rsidP="00876FDB">
            <w:p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jc w:val="both"/>
              <w:rPr>
                <w:rFonts w:ascii="Arial" w:hAnsi="Arial" w:cs="Arial"/>
                <w:bdr w:val="none" w:sz="0" w:space="0" w:color="auto"/>
              </w:rPr>
            </w:pPr>
            <w:r>
              <w:rPr>
                <w:rFonts w:ascii="Arial" w:hAnsi="Arial" w:cs="Arial"/>
                <w:bdr w:val="none" w:sz="0" w:space="0" w:color="auto"/>
              </w:rPr>
              <w:t xml:space="preserve">Develop a Financing Strategy by </w:t>
            </w:r>
            <w:r w:rsidR="004E7C70">
              <w:rPr>
                <w:rFonts w:ascii="Arial" w:hAnsi="Arial" w:cs="Arial"/>
                <w:bdr w:val="none" w:sz="0" w:space="0" w:color="auto"/>
              </w:rPr>
              <w:t>assessing donor funding and financing of other Regional Seas Programme, identifying strategies to mobilise funding sources</w:t>
            </w:r>
            <w:r w:rsidR="00CC633B">
              <w:rPr>
                <w:rFonts w:ascii="Arial" w:hAnsi="Arial" w:cs="Arial"/>
                <w:bdr w:val="none" w:sz="0" w:space="0" w:color="auto"/>
              </w:rPr>
              <w:t xml:space="preserve">, identifying options for increased funding assistance to the Noumea Convention including </w:t>
            </w:r>
            <w:r w:rsidR="00876FDB">
              <w:rPr>
                <w:rFonts w:ascii="Arial" w:hAnsi="Arial" w:cs="Arial"/>
                <w:bdr w:val="none" w:sz="0" w:space="0" w:color="auto"/>
              </w:rPr>
              <w:t xml:space="preserve">support for non-Parties to ratify the Noumea Convention. </w:t>
            </w:r>
            <w:r w:rsidR="001A21AE" w:rsidRPr="001A21AE">
              <w:rPr>
                <w:rFonts w:ascii="Arial" w:hAnsi="Arial" w:cs="Arial"/>
                <w:bdr w:val="none" w:sz="0" w:space="0" w:color="auto"/>
              </w:rPr>
              <w:t xml:space="preserve">  </w:t>
            </w:r>
          </w:p>
        </w:tc>
        <w:tc>
          <w:tcPr>
            <w:tcW w:w="2868" w:type="dxa"/>
          </w:tcPr>
          <w:p w14:paraId="7077FE59" w14:textId="7FE7E671" w:rsidR="001A21AE" w:rsidRPr="001A21AE" w:rsidRDefault="00524CF5" w:rsidP="00FC15B6">
            <w:pPr>
              <w:pBdr>
                <w:top w:val="none" w:sz="0" w:space="0" w:color="auto"/>
                <w:left w:val="none" w:sz="0" w:space="0" w:color="auto"/>
                <w:bottom w:val="none" w:sz="0" w:space="0" w:color="auto"/>
                <w:right w:val="none" w:sz="0" w:space="0" w:color="auto"/>
                <w:between w:val="none" w:sz="0" w:space="0" w:color="auto"/>
                <w:bar w:val="none" w:sz="0" w:color="auto"/>
              </w:pBdr>
              <w:tabs>
                <w:tab w:val="left" w:pos="3045"/>
                <w:tab w:val="left" w:pos="3623"/>
              </w:tabs>
              <w:spacing w:line="276" w:lineRule="auto"/>
              <w:rPr>
                <w:rFonts w:ascii="Arial" w:hAnsi="Arial" w:cs="Arial"/>
                <w:bdr w:val="none" w:sz="0" w:space="0" w:color="auto"/>
              </w:rPr>
            </w:pPr>
            <w:r>
              <w:rPr>
                <w:rFonts w:ascii="Arial" w:hAnsi="Arial" w:cs="Arial"/>
                <w:bdr w:val="none" w:sz="0" w:space="0" w:color="auto"/>
              </w:rPr>
              <w:t xml:space="preserve">Draft </w:t>
            </w:r>
            <w:r w:rsidR="002D3DCD">
              <w:rPr>
                <w:rFonts w:ascii="Arial" w:hAnsi="Arial" w:cs="Arial"/>
                <w:bdr w:val="none" w:sz="0" w:space="0" w:color="auto"/>
              </w:rPr>
              <w:t>Financ</w:t>
            </w:r>
            <w:r w:rsidR="000B00E8">
              <w:rPr>
                <w:rFonts w:ascii="Arial" w:hAnsi="Arial" w:cs="Arial"/>
                <w:bdr w:val="none" w:sz="0" w:space="0" w:color="auto"/>
              </w:rPr>
              <w:t>ing</w:t>
            </w:r>
            <w:r w:rsidR="002D3DCD">
              <w:rPr>
                <w:rFonts w:ascii="Arial" w:hAnsi="Arial" w:cs="Arial"/>
                <w:bdr w:val="none" w:sz="0" w:space="0" w:color="auto"/>
              </w:rPr>
              <w:t xml:space="preserve"> Strategy </w:t>
            </w:r>
            <w:r w:rsidR="001A21AE" w:rsidRPr="001A21AE">
              <w:rPr>
                <w:rFonts w:ascii="Arial" w:hAnsi="Arial" w:cs="Arial"/>
                <w:bdr w:val="none" w:sz="0" w:space="0" w:color="auto"/>
              </w:rPr>
              <w:t xml:space="preserve"> </w:t>
            </w:r>
          </w:p>
        </w:tc>
      </w:tr>
      <w:tr w:rsidR="005148A5" w:rsidRPr="001A21AE" w14:paraId="4CA302B0" w14:textId="77777777" w:rsidTr="00FC15B6">
        <w:tc>
          <w:tcPr>
            <w:tcW w:w="2263" w:type="dxa"/>
          </w:tcPr>
          <w:p w14:paraId="45365B6E" w14:textId="1BAEDA06" w:rsidR="005148A5" w:rsidRDefault="005148A5" w:rsidP="001A21AE">
            <w:pPr>
              <w:numPr>
                <w:ilvl w:val="0"/>
                <w:numId w:val="6"/>
              </w:numPr>
              <w:tabs>
                <w:tab w:val="left" w:pos="3045"/>
                <w:tab w:val="left" w:pos="3623"/>
              </w:tabs>
              <w:spacing w:line="276" w:lineRule="auto"/>
              <w:ind w:left="309"/>
              <w:contextualSpacing/>
              <w:rPr>
                <w:rFonts w:ascii="Arial" w:eastAsia="Times New Roman" w:hAnsi="Arial" w:cs="Arial"/>
                <w:b/>
                <w:bCs/>
                <w:bdr w:val="none" w:sz="0" w:space="0" w:color="auto" w:frame="1"/>
              </w:rPr>
            </w:pPr>
            <w:r>
              <w:rPr>
                <w:rFonts w:ascii="Arial" w:eastAsia="Times New Roman" w:hAnsi="Arial" w:cs="Arial"/>
                <w:b/>
                <w:bCs/>
                <w:bdr w:val="none" w:sz="0" w:space="0" w:color="auto" w:frame="1"/>
              </w:rPr>
              <w:t>Consultations with Parties on the Draft Financing Strategy</w:t>
            </w:r>
          </w:p>
        </w:tc>
        <w:tc>
          <w:tcPr>
            <w:tcW w:w="4503" w:type="dxa"/>
          </w:tcPr>
          <w:p w14:paraId="0C7EB494" w14:textId="77777777" w:rsidR="005148A5" w:rsidRDefault="005148A5" w:rsidP="00FC15B6">
            <w:pPr>
              <w:tabs>
                <w:tab w:val="left" w:pos="3045"/>
                <w:tab w:val="left" w:pos="3623"/>
              </w:tabs>
              <w:spacing w:line="276" w:lineRule="auto"/>
              <w:rPr>
                <w:rFonts w:ascii="Arial" w:hAnsi="Arial" w:cs="Arial"/>
              </w:rPr>
            </w:pPr>
            <w:r>
              <w:rPr>
                <w:rFonts w:ascii="Arial" w:hAnsi="Arial" w:cs="Arial"/>
              </w:rPr>
              <w:t xml:space="preserve">Draft to be circulated to Parties for </w:t>
            </w:r>
            <w:r w:rsidR="00524CF5">
              <w:rPr>
                <w:rFonts w:ascii="Arial" w:hAnsi="Arial" w:cs="Arial"/>
              </w:rPr>
              <w:t xml:space="preserve">review and comments. </w:t>
            </w:r>
          </w:p>
          <w:p w14:paraId="4C81166F" w14:textId="77777777" w:rsidR="00524CF5" w:rsidRDefault="00524CF5" w:rsidP="00FC15B6">
            <w:pPr>
              <w:tabs>
                <w:tab w:val="left" w:pos="3045"/>
                <w:tab w:val="left" w:pos="3623"/>
              </w:tabs>
              <w:spacing w:line="276" w:lineRule="auto"/>
              <w:rPr>
                <w:rFonts w:ascii="Arial" w:hAnsi="Arial" w:cs="Arial"/>
              </w:rPr>
            </w:pPr>
          </w:p>
          <w:p w14:paraId="515E6387" w14:textId="0D02BACC" w:rsidR="00524CF5" w:rsidRDefault="00524CF5" w:rsidP="00FC15B6">
            <w:pPr>
              <w:tabs>
                <w:tab w:val="left" w:pos="3045"/>
                <w:tab w:val="left" w:pos="3623"/>
              </w:tabs>
              <w:spacing w:line="276" w:lineRule="auto"/>
              <w:rPr>
                <w:rFonts w:ascii="Arial" w:hAnsi="Arial" w:cs="Arial"/>
              </w:rPr>
            </w:pPr>
            <w:r>
              <w:rPr>
                <w:rFonts w:ascii="Arial" w:hAnsi="Arial" w:cs="Arial"/>
              </w:rPr>
              <w:t xml:space="preserve">Followed by a virtual consultation with all Parties </w:t>
            </w:r>
          </w:p>
        </w:tc>
        <w:tc>
          <w:tcPr>
            <w:tcW w:w="2868" w:type="dxa"/>
          </w:tcPr>
          <w:p w14:paraId="2D1D0058" w14:textId="70E9A7F5" w:rsidR="005148A5" w:rsidRPr="001A21AE" w:rsidRDefault="000200F9" w:rsidP="00FC15B6">
            <w:pPr>
              <w:tabs>
                <w:tab w:val="left" w:pos="3045"/>
                <w:tab w:val="left" w:pos="3623"/>
              </w:tabs>
              <w:spacing w:line="276" w:lineRule="auto"/>
              <w:rPr>
                <w:rFonts w:ascii="Arial" w:hAnsi="Arial" w:cs="Arial"/>
              </w:rPr>
            </w:pPr>
            <w:r>
              <w:rPr>
                <w:rFonts w:ascii="Arial" w:hAnsi="Arial" w:cs="Arial"/>
              </w:rPr>
              <w:t>Revised Strategy based on comments/review from Parties and the Secretariat</w:t>
            </w:r>
          </w:p>
        </w:tc>
      </w:tr>
      <w:tr w:rsidR="000200F9" w:rsidRPr="001A21AE" w14:paraId="16EE0B88" w14:textId="77777777" w:rsidTr="00FC15B6">
        <w:tc>
          <w:tcPr>
            <w:tcW w:w="2263" w:type="dxa"/>
          </w:tcPr>
          <w:p w14:paraId="78A8A5D5" w14:textId="70A2639F" w:rsidR="000200F9" w:rsidRDefault="000200F9" w:rsidP="001A21AE">
            <w:pPr>
              <w:numPr>
                <w:ilvl w:val="0"/>
                <w:numId w:val="6"/>
              </w:numPr>
              <w:tabs>
                <w:tab w:val="left" w:pos="3045"/>
                <w:tab w:val="left" w:pos="3623"/>
              </w:tabs>
              <w:spacing w:line="276" w:lineRule="auto"/>
              <w:ind w:left="309"/>
              <w:contextualSpacing/>
              <w:rPr>
                <w:rFonts w:ascii="Arial" w:eastAsia="Times New Roman" w:hAnsi="Arial" w:cs="Arial"/>
                <w:b/>
                <w:bCs/>
                <w:bdr w:val="none" w:sz="0" w:space="0" w:color="auto" w:frame="1"/>
              </w:rPr>
            </w:pPr>
            <w:r>
              <w:rPr>
                <w:rFonts w:ascii="Arial" w:eastAsia="Times New Roman" w:hAnsi="Arial" w:cs="Arial"/>
                <w:b/>
                <w:bCs/>
                <w:bdr w:val="none" w:sz="0" w:space="0" w:color="auto" w:frame="1"/>
              </w:rPr>
              <w:t>Final Draft Sustainable Financing Strategy</w:t>
            </w:r>
          </w:p>
        </w:tc>
        <w:tc>
          <w:tcPr>
            <w:tcW w:w="4503" w:type="dxa"/>
          </w:tcPr>
          <w:p w14:paraId="78EECCEB" w14:textId="66157613" w:rsidR="000200F9" w:rsidRDefault="000200F9" w:rsidP="00FC15B6">
            <w:pPr>
              <w:tabs>
                <w:tab w:val="left" w:pos="3045"/>
                <w:tab w:val="left" w:pos="3623"/>
              </w:tabs>
              <w:spacing w:line="276" w:lineRule="auto"/>
              <w:rPr>
                <w:rFonts w:ascii="Arial" w:hAnsi="Arial" w:cs="Arial"/>
              </w:rPr>
            </w:pPr>
            <w:r>
              <w:rPr>
                <w:rFonts w:ascii="Arial" w:hAnsi="Arial" w:cs="Arial"/>
              </w:rPr>
              <w:t xml:space="preserve">Final Draft </w:t>
            </w:r>
            <w:r w:rsidR="00005B46">
              <w:rPr>
                <w:rFonts w:ascii="Arial" w:hAnsi="Arial" w:cs="Arial"/>
              </w:rPr>
              <w:t>with Recommendations and Roadmap</w:t>
            </w:r>
          </w:p>
        </w:tc>
        <w:tc>
          <w:tcPr>
            <w:tcW w:w="2868" w:type="dxa"/>
          </w:tcPr>
          <w:p w14:paraId="7C384CFA" w14:textId="69DF1DC4" w:rsidR="000200F9" w:rsidRDefault="00005B46" w:rsidP="00FC15B6">
            <w:pPr>
              <w:tabs>
                <w:tab w:val="left" w:pos="3045"/>
                <w:tab w:val="left" w:pos="3623"/>
              </w:tabs>
              <w:spacing w:line="276" w:lineRule="auto"/>
              <w:rPr>
                <w:rFonts w:ascii="Arial" w:hAnsi="Arial" w:cs="Arial"/>
              </w:rPr>
            </w:pPr>
            <w:r>
              <w:rPr>
                <w:rFonts w:ascii="Arial" w:hAnsi="Arial" w:cs="Arial"/>
              </w:rPr>
              <w:t>Final Draft of the Sustainable Financing Strategy</w:t>
            </w:r>
            <w:r w:rsidR="009C205C">
              <w:rPr>
                <w:rFonts w:ascii="Arial" w:hAnsi="Arial" w:cs="Arial"/>
              </w:rPr>
              <w:t xml:space="preserve"> for the Noumea Convention </w:t>
            </w:r>
          </w:p>
        </w:tc>
      </w:tr>
    </w:tbl>
    <w:p w14:paraId="2C815867" w14:textId="77777777" w:rsidR="0099314D" w:rsidRDefault="0099314D">
      <w:pPr>
        <w:rPr>
          <w:rFonts w:ascii="Arial" w:hAnsi="Arial" w:cs="Arial"/>
          <w:b/>
          <w:bCs/>
          <w:sz w:val="20"/>
          <w:szCs w:val="20"/>
        </w:rPr>
      </w:pPr>
    </w:p>
    <w:p w14:paraId="799E7E90" w14:textId="77777777" w:rsidR="00005B46" w:rsidRDefault="00005B46">
      <w:pPr>
        <w:rPr>
          <w:rFonts w:ascii="Arial" w:hAnsi="Arial" w:cs="Arial"/>
          <w:b/>
          <w:bCs/>
          <w:sz w:val="20"/>
          <w:szCs w:val="20"/>
        </w:rPr>
      </w:pPr>
    </w:p>
    <w:p w14:paraId="1B644899" w14:textId="77777777" w:rsidR="00005B46" w:rsidRDefault="00005B46">
      <w:pPr>
        <w:rPr>
          <w:rFonts w:ascii="Arial" w:hAnsi="Arial" w:cs="Arial"/>
          <w:b/>
          <w:bCs/>
          <w:sz w:val="20"/>
          <w:szCs w:val="20"/>
        </w:rPr>
      </w:pPr>
    </w:p>
    <w:p w14:paraId="07320EF0" w14:textId="77777777" w:rsidR="00005B46" w:rsidRDefault="00005B46">
      <w:pPr>
        <w:rPr>
          <w:rFonts w:ascii="Arial" w:hAnsi="Arial" w:cs="Arial"/>
          <w:b/>
          <w:bCs/>
          <w:sz w:val="20"/>
          <w:szCs w:val="20"/>
        </w:rPr>
      </w:pPr>
    </w:p>
    <w:p w14:paraId="0A00EFB9" w14:textId="749051BF" w:rsidR="00BA6E56" w:rsidRPr="00AE418B" w:rsidRDefault="0099314D">
      <w:pPr>
        <w:rPr>
          <w:rFonts w:ascii="Arial" w:hAnsi="Arial" w:cs="Arial"/>
          <w:b/>
          <w:bCs/>
          <w:sz w:val="20"/>
          <w:szCs w:val="20"/>
        </w:rPr>
      </w:pPr>
      <w:r>
        <w:rPr>
          <w:rFonts w:ascii="Arial" w:hAnsi="Arial" w:cs="Arial"/>
          <w:b/>
          <w:bCs/>
          <w:sz w:val="20"/>
          <w:szCs w:val="20"/>
        </w:rPr>
        <w:lastRenderedPageBreak/>
        <w:t xml:space="preserve">5. </w:t>
      </w:r>
      <w:r w:rsidR="004801E9" w:rsidRPr="00AE418B">
        <w:rPr>
          <w:rFonts w:ascii="Arial" w:hAnsi="Arial" w:cs="Arial"/>
          <w:b/>
          <w:bCs/>
          <w:sz w:val="20"/>
          <w:szCs w:val="20"/>
        </w:rPr>
        <w:t xml:space="preserve">Deliverables and Timeframes </w:t>
      </w:r>
    </w:p>
    <w:tbl>
      <w:tblPr>
        <w:tblStyle w:val="TableGrid"/>
        <w:tblW w:w="0" w:type="auto"/>
        <w:tblLook w:val="04A0" w:firstRow="1" w:lastRow="0" w:firstColumn="1" w:lastColumn="0" w:noHBand="0" w:noVBand="1"/>
      </w:tblPr>
      <w:tblGrid>
        <w:gridCol w:w="6516"/>
        <w:gridCol w:w="2500"/>
      </w:tblGrid>
      <w:tr w:rsidR="00AE418B" w:rsidRPr="00215975" w14:paraId="24C38362" w14:textId="77777777" w:rsidTr="005F1197">
        <w:tc>
          <w:tcPr>
            <w:tcW w:w="6516" w:type="dxa"/>
            <w:shd w:val="clear" w:color="auto" w:fill="C1E4F5" w:themeFill="accent1" w:themeFillTint="33"/>
          </w:tcPr>
          <w:p w14:paraId="6ECB0029" w14:textId="77777777" w:rsidR="00AE418B" w:rsidRPr="00215975" w:rsidRDefault="00AE418B" w:rsidP="00FC15B6">
            <w:pPr>
              <w:rPr>
                <w:rFonts w:ascii="Arial" w:hAnsi="Arial" w:cs="Arial"/>
                <w:b/>
                <w:bCs/>
              </w:rPr>
            </w:pPr>
            <w:r w:rsidRPr="00215975">
              <w:rPr>
                <w:rFonts w:ascii="Arial" w:hAnsi="Arial" w:cs="Arial"/>
                <w:b/>
                <w:bCs/>
              </w:rPr>
              <w:t>Deliverable</w:t>
            </w:r>
          </w:p>
        </w:tc>
        <w:tc>
          <w:tcPr>
            <w:tcW w:w="2500" w:type="dxa"/>
            <w:shd w:val="clear" w:color="auto" w:fill="C1E4F5" w:themeFill="accent1" w:themeFillTint="33"/>
          </w:tcPr>
          <w:p w14:paraId="7CD22432" w14:textId="77777777" w:rsidR="00AE418B" w:rsidRPr="00215975" w:rsidRDefault="00AE418B" w:rsidP="00FC15B6">
            <w:pPr>
              <w:rPr>
                <w:rFonts w:ascii="Arial" w:hAnsi="Arial" w:cs="Arial"/>
                <w:b/>
                <w:bCs/>
              </w:rPr>
            </w:pPr>
            <w:r w:rsidRPr="00215975">
              <w:rPr>
                <w:rFonts w:ascii="Arial" w:hAnsi="Arial" w:cs="Arial"/>
                <w:b/>
                <w:bCs/>
              </w:rPr>
              <w:t>Timeframe</w:t>
            </w:r>
          </w:p>
        </w:tc>
      </w:tr>
      <w:tr w:rsidR="00AE418B" w:rsidRPr="00215975" w14:paraId="3E7A48EC" w14:textId="77777777" w:rsidTr="00FC15B6">
        <w:tc>
          <w:tcPr>
            <w:tcW w:w="6516" w:type="dxa"/>
          </w:tcPr>
          <w:p w14:paraId="7B940BC2" w14:textId="5C406CBE" w:rsidR="00AE418B" w:rsidRPr="00005B46" w:rsidRDefault="00AE418B" w:rsidP="00FC15B6">
            <w:pPr>
              <w:rPr>
                <w:rFonts w:ascii="Arial" w:hAnsi="Arial" w:cs="Arial"/>
              </w:rPr>
            </w:pPr>
            <w:r w:rsidRPr="00005B46">
              <w:rPr>
                <w:rFonts w:ascii="Arial" w:hAnsi="Arial" w:cs="Arial"/>
              </w:rPr>
              <w:t xml:space="preserve">1. Inception Report </w:t>
            </w:r>
          </w:p>
        </w:tc>
        <w:tc>
          <w:tcPr>
            <w:tcW w:w="2500" w:type="dxa"/>
          </w:tcPr>
          <w:p w14:paraId="7994046A" w14:textId="73D57C7F" w:rsidR="00AE418B" w:rsidRPr="00215975" w:rsidRDefault="00EE0388" w:rsidP="00FC15B6">
            <w:pPr>
              <w:rPr>
                <w:rFonts w:ascii="Arial" w:hAnsi="Arial" w:cs="Arial"/>
              </w:rPr>
            </w:pPr>
            <w:r>
              <w:rPr>
                <w:rFonts w:ascii="Arial" w:hAnsi="Arial" w:cs="Arial"/>
              </w:rPr>
              <w:t>1</w:t>
            </w:r>
            <w:r w:rsidR="00AE418B" w:rsidRPr="00215975">
              <w:rPr>
                <w:rFonts w:ascii="Arial" w:hAnsi="Arial" w:cs="Arial"/>
              </w:rPr>
              <w:t xml:space="preserve"> week from signing of contract</w:t>
            </w:r>
          </w:p>
        </w:tc>
      </w:tr>
      <w:tr w:rsidR="00AE418B" w:rsidRPr="00215975" w14:paraId="5C8F9755" w14:textId="77777777" w:rsidTr="00FC15B6">
        <w:tc>
          <w:tcPr>
            <w:tcW w:w="6516" w:type="dxa"/>
          </w:tcPr>
          <w:p w14:paraId="744C6DA8" w14:textId="7EC5766B" w:rsidR="00AE418B" w:rsidRPr="00005B46" w:rsidRDefault="00AE418B" w:rsidP="00FC15B6">
            <w:pPr>
              <w:rPr>
                <w:rFonts w:ascii="Arial" w:hAnsi="Arial" w:cs="Arial"/>
              </w:rPr>
            </w:pPr>
            <w:r w:rsidRPr="00005B46">
              <w:rPr>
                <w:rFonts w:ascii="Arial" w:hAnsi="Arial" w:cs="Arial"/>
              </w:rPr>
              <w:t xml:space="preserve">2. </w:t>
            </w:r>
            <w:r w:rsidR="00527C3F" w:rsidRPr="00005B46">
              <w:rPr>
                <w:rFonts w:ascii="Arial" w:hAnsi="Arial" w:cs="Arial"/>
              </w:rPr>
              <w:t>Review report on existing funding mechanism, revenue streams and historical income and expenditure trends</w:t>
            </w:r>
          </w:p>
          <w:p w14:paraId="3317C3C3" w14:textId="77777777" w:rsidR="00AE418B" w:rsidRPr="00005B46" w:rsidRDefault="00AE418B" w:rsidP="00FC15B6">
            <w:pPr>
              <w:rPr>
                <w:rFonts w:ascii="Arial" w:hAnsi="Arial" w:cs="Arial"/>
              </w:rPr>
            </w:pPr>
          </w:p>
        </w:tc>
        <w:tc>
          <w:tcPr>
            <w:tcW w:w="2500" w:type="dxa"/>
          </w:tcPr>
          <w:p w14:paraId="31BDE1E3" w14:textId="34827137" w:rsidR="00AE418B" w:rsidRPr="00215975" w:rsidRDefault="00AE418B" w:rsidP="00FC15B6">
            <w:pPr>
              <w:rPr>
                <w:rFonts w:ascii="Arial" w:hAnsi="Arial" w:cs="Arial"/>
              </w:rPr>
            </w:pPr>
            <w:r w:rsidRPr="00215975">
              <w:rPr>
                <w:rFonts w:ascii="Arial" w:hAnsi="Arial" w:cs="Arial"/>
              </w:rPr>
              <w:t xml:space="preserve">Within </w:t>
            </w:r>
            <w:r w:rsidR="009C205C">
              <w:rPr>
                <w:rFonts w:ascii="Arial" w:hAnsi="Arial" w:cs="Arial"/>
              </w:rPr>
              <w:t>2</w:t>
            </w:r>
            <w:r w:rsidRPr="00215975">
              <w:rPr>
                <w:rFonts w:ascii="Arial" w:hAnsi="Arial" w:cs="Arial"/>
              </w:rPr>
              <w:t xml:space="preserve"> weeks</w:t>
            </w:r>
          </w:p>
        </w:tc>
      </w:tr>
      <w:tr w:rsidR="00AE418B" w:rsidRPr="00215975" w14:paraId="7A81E4D1" w14:textId="77777777" w:rsidTr="00FC15B6">
        <w:tc>
          <w:tcPr>
            <w:tcW w:w="6516" w:type="dxa"/>
          </w:tcPr>
          <w:p w14:paraId="0BAD77DE" w14:textId="0BA2E574" w:rsidR="00AE418B" w:rsidRPr="00005B46" w:rsidRDefault="00AE418B" w:rsidP="00FC15B6">
            <w:pPr>
              <w:rPr>
                <w:rFonts w:ascii="Arial" w:hAnsi="Arial" w:cs="Arial"/>
              </w:rPr>
            </w:pPr>
            <w:r w:rsidRPr="00005B46">
              <w:rPr>
                <w:rFonts w:ascii="Arial" w:hAnsi="Arial" w:cs="Arial"/>
              </w:rPr>
              <w:t xml:space="preserve">3. </w:t>
            </w:r>
            <w:r w:rsidR="00C57363" w:rsidRPr="00005B46">
              <w:rPr>
                <w:rFonts w:ascii="Arial" w:hAnsi="Arial" w:cs="Arial"/>
              </w:rPr>
              <w:t xml:space="preserve">First Draft </w:t>
            </w:r>
            <w:r w:rsidR="008D3D72" w:rsidRPr="00005B46">
              <w:rPr>
                <w:rFonts w:ascii="Arial" w:hAnsi="Arial" w:cs="Arial"/>
              </w:rPr>
              <w:t xml:space="preserve">Sustainable </w:t>
            </w:r>
            <w:r w:rsidR="00C57363" w:rsidRPr="00005B46">
              <w:rPr>
                <w:rFonts w:ascii="Arial" w:hAnsi="Arial" w:cs="Arial"/>
              </w:rPr>
              <w:t>Finan</w:t>
            </w:r>
            <w:r w:rsidR="002C3F86" w:rsidRPr="00005B46">
              <w:rPr>
                <w:rFonts w:ascii="Arial" w:hAnsi="Arial" w:cs="Arial"/>
              </w:rPr>
              <w:t>c</w:t>
            </w:r>
            <w:r w:rsidR="007A57A0" w:rsidRPr="00005B46">
              <w:rPr>
                <w:rFonts w:ascii="Arial" w:hAnsi="Arial" w:cs="Arial"/>
              </w:rPr>
              <w:t>ing</w:t>
            </w:r>
            <w:r w:rsidR="002C3F86" w:rsidRPr="00005B46">
              <w:rPr>
                <w:rFonts w:ascii="Arial" w:hAnsi="Arial" w:cs="Arial"/>
              </w:rPr>
              <w:t xml:space="preserve"> Strategy</w:t>
            </w:r>
            <w:r w:rsidR="009C205C">
              <w:rPr>
                <w:rFonts w:ascii="Arial" w:hAnsi="Arial" w:cs="Arial"/>
              </w:rPr>
              <w:t xml:space="preserve"> for the Noumea Convention</w:t>
            </w:r>
            <w:r w:rsidRPr="00005B46">
              <w:rPr>
                <w:rFonts w:ascii="Arial" w:hAnsi="Arial" w:cs="Arial"/>
              </w:rPr>
              <w:t xml:space="preserve"> </w:t>
            </w:r>
          </w:p>
          <w:p w14:paraId="18DC26EA" w14:textId="77777777" w:rsidR="00AE418B" w:rsidRPr="00005B46" w:rsidRDefault="00AE418B" w:rsidP="00FC15B6">
            <w:pPr>
              <w:rPr>
                <w:rFonts w:ascii="Arial" w:hAnsi="Arial" w:cs="Arial"/>
              </w:rPr>
            </w:pPr>
          </w:p>
        </w:tc>
        <w:tc>
          <w:tcPr>
            <w:tcW w:w="2500" w:type="dxa"/>
          </w:tcPr>
          <w:p w14:paraId="50CD9960" w14:textId="45BC7A3E" w:rsidR="00AE418B" w:rsidRPr="00215975" w:rsidRDefault="00AE418B" w:rsidP="00FC15B6">
            <w:pPr>
              <w:rPr>
                <w:rFonts w:ascii="Arial" w:hAnsi="Arial" w:cs="Arial"/>
              </w:rPr>
            </w:pPr>
            <w:r w:rsidRPr="00215975">
              <w:rPr>
                <w:rFonts w:ascii="Arial" w:hAnsi="Arial" w:cs="Arial"/>
              </w:rPr>
              <w:t xml:space="preserve">Within </w:t>
            </w:r>
            <w:r w:rsidR="002C3F86">
              <w:rPr>
                <w:rFonts w:ascii="Arial" w:hAnsi="Arial" w:cs="Arial"/>
              </w:rPr>
              <w:t>3</w:t>
            </w:r>
            <w:r w:rsidRPr="00215975">
              <w:rPr>
                <w:rFonts w:ascii="Arial" w:hAnsi="Arial" w:cs="Arial"/>
              </w:rPr>
              <w:t xml:space="preserve"> weeks</w:t>
            </w:r>
          </w:p>
        </w:tc>
      </w:tr>
      <w:tr w:rsidR="00AE418B" w:rsidRPr="00215975" w14:paraId="5D690FC0" w14:textId="77777777" w:rsidTr="00FC15B6">
        <w:tc>
          <w:tcPr>
            <w:tcW w:w="6516" w:type="dxa"/>
          </w:tcPr>
          <w:p w14:paraId="125CD7BD" w14:textId="1D46E8CF" w:rsidR="00AE418B" w:rsidRPr="00005B46" w:rsidRDefault="00AE418B" w:rsidP="00FC15B6">
            <w:pPr>
              <w:rPr>
                <w:rFonts w:ascii="Arial" w:hAnsi="Arial" w:cs="Arial"/>
              </w:rPr>
            </w:pPr>
            <w:r w:rsidRPr="00005B46">
              <w:rPr>
                <w:rFonts w:ascii="Arial" w:hAnsi="Arial" w:cs="Arial"/>
              </w:rPr>
              <w:t xml:space="preserve">4. </w:t>
            </w:r>
            <w:r w:rsidR="00EB3173" w:rsidRPr="00005B46">
              <w:rPr>
                <w:rFonts w:ascii="Arial" w:hAnsi="Arial" w:cs="Arial"/>
              </w:rPr>
              <w:t>Consultation</w:t>
            </w:r>
            <w:r w:rsidR="0067262A" w:rsidRPr="00005B46">
              <w:rPr>
                <w:rFonts w:ascii="Arial" w:hAnsi="Arial" w:cs="Arial"/>
              </w:rPr>
              <w:t>s</w:t>
            </w:r>
            <w:r w:rsidR="00EB3173" w:rsidRPr="00005B46">
              <w:rPr>
                <w:rFonts w:ascii="Arial" w:hAnsi="Arial" w:cs="Arial"/>
              </w:rPr>
              <w:t xml:space="preserve"> with Parties </w:t>
            </w:r>
            <w:r w:rsidR="0067262A" w:rsidRPr="00005B46">
              <w:rPr>
                <w:rFonts w:ascii="Arial" w:hAnsi="Arial" w:cs="Arial"/>
              </w:rPr>
              <w:t xml:space="preserve">on </w:t>
            </w:r>
            <w:r w:rsidR="00EB3173" w:rsidRPr="00005B46">
              <w:rPr>
                <w:rFonts w:ascii="Arial" w:hAnsi="Arial" w:cs="Arial"/>
              </w:rPr>
              <w:t>the Draft Financ</w:t>
            </w:r>
            <w:r w:rsidR="00483815" w:rsidRPr="00005B46">
              <w:rPr>
                <w:rFonts w:ascii="Arial" w:hAnsi="Arial" w:cs="Arial"/>
              </w:rPr>
              <w:t>ing</w:t>
            </w:r>
            <w:r w:rsidR="00EB3173" w:rsidRPr="00005B46">
              <w:rPr>
                <w:rFonts w:ascii="Arial" w:hAnsi="Arial" w:cs="Arial"/>
              </w:rPr>
              <w:t xml:space="preserve"> Strategy</w:t>
            </w:r>
            <w:r w:rsidR="0067262A" w:rsidRPr="00005B46">
              <w:rPr>
                <w:rFonts w:ascii="Arial" w:hAnsi="Arial" w:cs="Arial"/>
              </w:rPr>
              <w:t xml:space="preserve"> </w:t>
            </w:r>
            <w:r w:rsidR="009C205C">
              <w:rPr>
                <w:rFonts w:ascii="Arial" w:hAnsi="Arial" w:cs="Arial"/>
              </w:rPr>
              <w:t>for the Noumea Convention</w:t>
            </w:r>
          </w:p>
          <w:p w14:paraId="64342A2C" w14:textId="356E052A" w:rsidR="00A829F0" w:rsidRPr="00005B46" w:rsidRDefault="00A829F0" w:rsidP="00FC15B6">
            <w:pPr>
              <w:rPr>
                <w:rFonts w:ascii="Arial" w:hAnsi="Arial" w:cs="Arial"/>
              </w:rPr>
            </w:pPr>
          </w:p>
        </w:tc>
        <w:tc>
          <w:tcPr>
            <w:tcW w:w="2500" w:type="dxa"/>
          </w:tcPr>
          <w:p w14:paraId="4042CAC0" w14:textId="13EFCC1E" w:rsidR="00AE418B" w:rsidRPr="00215975" w:rsidRDefault="00AE418B" w:rsidP="00FC15B6">
            <w:pPr>
              <w:rPr>
                <w:rFonts w:ascii="Arial" w:hAnsi="Arial" w:cs="Arial"/>
              </w:rPr>
            </w:pPr>
            <w:r w:rsidRPr="00215975">
              <w:rPr>
                <w:rFonts w:ascii="Arial" w:hAnsi="Arial" w:cs="Arial"/>
              </w:rPr>
              <w:t xml:space="preserve">Within </w:t>
            </w:r>
            <w:r w:rsidR="00BF10A1">
              <w:rPr>
                <w:rFonts w:ascii="Arial" w:hAnsi="Arial" w:cs="Arial"/>
              </w:rPr>
              <w:t>2</w:t>
            </w:r>
            <w:r w:rsidRPr="00215975">
              <w:rPr>
                <w:rFonts w:ascii="Arial" w:hAnsi="Arial" w:cs="Arial"/>
              </w:rPr>
              <w:t xml:space="preserve"> </w:t>
            </w:r>
            <w:r w:rsidR="00BF10A1" w:rsidRPr="00215975">
              <w:rPr>
                <w:rFonts w:ascii="Arial" w:hAnsi="Arial" w:cs="Arial"/>
              </w:rPr>
              <w:t>weeks</w:t>
            </w:r>
          </w:p>
        </w:tc>
      </w:tr>
      <w:tr w:rsidR="00725F53" w:rsidRPr="00215975" w14:paraId="0D55B97A" w14:textId="77777777" w:rsidTr="00FC15B6">
        <w:tc>
          <w:tcPr>
            <w:tcW w:w="6516" w:type="dxa"/>
          </w:tcPr>
          <w:p w14:paraId="6E3250BF" w14:textId="4B17625E" w:rsidR="00A829F0" w:rsidRPr="00005B46" w:rsidRDefault="00725F53" w:rsidP="00FC15B6">
            <w:pPr>
              <w:rPr>
                <w:rFonts w:ascii="Arial" w:hAnsi="Arial" w:cs="Arial"/>
              </w:rPr>
            </w:pPr>
            <w:r w:rsidRPr="00005B46">
              <w:rPr>
                <w:rFonts w:ascii="Arial" w:hAnsi="Arial" w:cs="Arial"/>
              </w:rPr>
              <w:t xml:space="preserve">5. Final Draft </w:t>
            </w:r>
            <w:r w:rsidR="008D3D72" w:rsidRPr="00005B46">
              <w:rPr>
                <w:rFonts w:ascii="Arial" w:hAnsi="Arial" w:cs="Arial"/>
              </w:rPr>
              <w:t xml:space="preserve">Sustainable </w:t>
            </w:r>
            <w:r w:rsidRPr="00005B46">
              <w:rPr>
                <w:rFonts w:ascii="Arial" w:hAnsi="Arial" w:cs="Arial"/>
              </w:rPr>
              <w:t>Financ</w:t>
            </w:r>
            <w:r w:rsidR="007A57A0" w:rsidRPr="00005B46">
              <w:rPr>
                <w:rFonts w:ascii="Arial" w:hAnsi="Arial" w:cs="Arial"/>
              </w:rPr>
              <w:t>ing</w:t>
            </w:r>
            <w:r w:rsidRPr="00005B46">
              <w:rPr>
                <w:rFonts w:ascii="Arial" w:hAnsi="Arial" w:cs="Arial"/>
              </w:rPr>
              <w:t xml:space="preserve"> Strategy</w:t>
            </w:r>
            <w:r w:rsidR="009C205C">
              <w:rPr>
                <w:rFonts w:ascii="Arial" w:hAnsi="Arial" w:cs="Arial"/>
              </w:rPr>
              <w:t xml:space="preserve"> for the Noumea Convention</w:t>
            </w:r>
          </w:p>
          <w:p w14:paraId="3BEDDC55" w14:textId="0ECD1F31" w:rsidR="00725F53" w:rsidRPr="00005B46" w:rsidRDefault="00725F53" w:rsidP="00FC15B6">
            <w:pPr>
              <w:rPr>
                <w:rFonts w:ascii="Arial" w:hAnsi="Arial" w:cs="Arial"/>
              </w:rPr>
            </w:pPr>
            <w:r w:rsidRPr="00005B46">
              <w:rPr>
                <w:rFonts w:ascii="Arial" w:hAnsi="Arial" w:cs="Arial"/>
              </w:rPr>
              <w:t xml:space="preserve"> </w:t>
            </w:r>
          </w:p>
        </w:tc>
        <w:tc>
          <w:tcPr>
            <w:tcW w:w="2500" w:type="dxa"/>
          </w:tcPr>
          <w:p w14:paraId="2F2A85A4" w14:textId="0B3E1A7C" w:rsidR="00725F53" w:rsidRPr="00215975" w:rsidRDefault="00DA1050" w:rsidP="00FC15B6">
            <w:pPr>
              <w:rPr>
                <w:rFonts w:ascii="Arial" w:hAnsi="Arial" w:cs="Arial"/>
              </w:rPr>
            </w:pPr>
            <w:r>
              <w:rPr>
                <w:rFonts w:ascii="Arial" w:hAnsi="Arial" w:cs="Arial"/>
              </w:rPr>
              <w:t xml:space="preserve">Within </w:t>
            </w:r>
            <w:r w:rsidR="009C205C">
              <w:rPr>
                <w:rFonts w:ascii="Arial" w:hAnsi="Arial" w:cs="Arial"/>
              </w:rPr>
              <w:t>2</w:t>
            </w:r>
            <w:r>
              <w:rPr>
                <w:rFonts w:ascii="Arial" w:hAnsi="Arial" w:cs="Arial"/>
              </w:rPr>
              <w:t xml:space="preserve"> weeks </w:t>
            </w:r>
          </w:p>
        </w:tc>
      </w:tr>
    </w:tbl>
    <w:p w14:paraId="7AEB1F53" w14:textId="77777777" w:rsidR="00AE418B" w:rsidRDefault="00AE418B">
      <w:pPr>
        <w:rPr>
          <w:rFonts w:ascii="Arial" w:hAnsi="Arial" w:cs="Arial"/>
          <w:sz w:val="20"/>
          <w:szCs w:val="20"/>
        </w:rPr>
      </w:pPr>
    </w:p>
    <w:p w14:paraId="49EDEE8F" w14:textId="77E8BDFE" w:rsidR="00AE418B" w:rsidRPr="00881F42" w:rsidRDefault="00AE418B">
      <w:pPr>
        <w:rPr>
          <w:rFonts w:ascii="Arial" w:hAnsi="Arial" w:cs="Arial"/>
          <w:b/>
          <w:bCs/>
          <w:sz w:val="20"/>
          <w:szCs w:val="20"/>
        </w:rPr>
      </w:pPr>
      <w:r w:rsidRPr="00881F42">
        <w:rPr>
          <w:rFonts w:ascii="Arial" w:hAnsi="Arial" w:cs="Arial"/>
          <w:b/>
          <w:bCs/>
          <w:sz w:val="20"/>
          <w:szCs w:val="20"/>
        </w:rPr>
        <w:t xml:space="preserve">5. Duration of Consultancy Service </w:t>
      </w:r>
    </w:p>
    <w:p w14:paraId="0B6E64CC" w14:textId="051AC7B9" w:rsidR="00AE418B" w:rsidRPr="00BA6E56" w:rsidRDefault="00AE418B">
      <w:pPr>
        <w:rPr>
          <w:rFonts w:ascii="Arial" w:hAnsi="Arial" w:cs="Arial"/>
          <w:sz w:val="20"/>
          <w:szCs w:val="20"/>
        </w:rPr>
      </w:pPr>
      <w:r>
        <w:rPr>
          <w:rFonts w:ascii="Arial" w:hAnsi="Arial" w:cs="Arial"/>
          <w:sz w:val="20"/>
          <w:szCs w:val="20"/>
        </w:rPr>
        <w:t xml:space="preserve">The duration of this consultation is expected to take </w:t>
      </w:r>
      <w:r w:rsidR="009C205C">
        <w:rPr>
          <w:rFonts w:ascii="Arial" w:hAnsi="Arial" w:cs="Arial"/>
          <w:sz w:val="20"/>
          <w:szCs w:val="20"/>
        </w:rPr>
        <w:t xml:space="preserve">10 </w:t>
      </w:r>
      <w:r w:rsidR="00881F42">
        <w:rPr>
          <w:rFonts w:ascii="Arial" w:hAnsi="Arial" w:cs="Arial"/>
          <w:sz w:val="20"/>
          <w:szCs w:val="20"/>
        </w:rPr>
        <w:t xml:space="preserve">weeks. </w:t>
      </w:r>
    </w:p>
    <w:sectPr w:rsidR="00AE418B" w:rsidRPr="00BA6E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A3D16"/>
    <w:multiLevelType w:val="hybridMultilevel"/>
    <w:tmpl w:val="7706A1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8ED1649"/>
    <w:multiLevelType w:val="hybridMultilevel"/>
    <w:tmpl w:val="402063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42F5555"/>
    <w:multiLevelType w:val="hybridMultilevel"/>
    <w:tmpl w:val="EE8E75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4C01B39"/>
    <w:multiLevelType w:val="hybridMultilevel"/>
    <w:tmpl w:val="064AC9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2463914"/>
    <w:multiLevelType w:val="hybridMultilevel"/>
    <w:tmpl w:val="00E494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E002CF3"/>
    <w:multiLevelType w:val="hybridMultilevel"/>
    <w:tmpl w:val="6986AF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7847063">
    <w:abstractNumId w:val="3"/>
  </w:num>
  <w:num w:numId="2" w16cid:durableId="1942445084">
    <w:abstractNumId w:val="2"/>
  </w:num>
  <w:num w:numId="3" w16cid:durableId="1968194634">
    <w:abstractNumId w:val="5"/>
  </w:num>
  <w:num w:numId="4" w16cid:durableId="839854849">
    <w:abstractNumId w:val="4"/>
  </w:num>
  <w:num w:numId="5" w16cid:durableId="1727802235">
    <w:abstractNumId w:val="1"/>
  </w:num>
  <w:num w:numId="6" w16cid:durableId="38051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AA"/>
    <w:rsid w:val="00005B46"/>
    <w:rsid w:val="00015743"/>
    <w:rsid w:val="000172C2"/>
    <w:rsid w:val="000200F9"/>
    <w:rsid w:val="00032279"/>
    <w:rsid w:val="000435F5"/>
    <w:rsid w:val="0006195E"/>
    <w:rsid w:val="00063241"/>
    <w:rsid w:val="000731DE"/>
    <w:rsid w:val="000A0935"/>
    <w:rsid w:val="000B00E8"/>
    <w:rsid w:val="000C3D21"/>
    <w:rsid w:val="000D5468"/>
    <w:rsid w:val="000F44E3"/>
    <w:rsid w:val="001727B9"/>
    <w:rsid w:val="001A21AE"/>
    <w:rsid w:val="001C09C2"/>
    <w:rsid w:val="001C0C4B"/>
    <w:rsid w:val="001E570C"/>
    <w:rsid w:val="00200E0E"/>
    <w:rsid w:val="0020652F"/>
    <w:rsid w:val="00235F12"/>
    <w:rsid w:val="00246D04"/>
    <w:rsid w:val="00254DF2"/>
    <w:rsid w:val="0027611F"/>
    <w:rsid w:val="002870E6"/>
    <w:rsid w:val="002B6FAA"/>
    <w:rsid w:val="002C14B5"/>
    <w:rsid w:val="002C3F86"/>
    <w:rsid w:val="002C73B3"/>
    <w:rsid w:val="002D3DCD"/>
    <w:rsid w:val="002F1368"/>
    <w:rsid w:val="0031155D"/>
    <w:rsid w:val="003477C1"/>
    <w:rsid w:val="00386A48"/>
    <w:rsid w:val="003A18D8"/>
    <w:rsid w:val="003B5E10"/>
    <w:rsid w:val="003C56B6"/>
    <w:rsid w:val="003D4D26"/>
    <w:rsid w:val="003E20BA"/>
    <w:rsid w:val="003F0085"/>
    <w:rsid w:val="004063D3"/>
    <w:rsid w:val="004205B6"/>
    <w:rsid w:val="00435DCA"/>
    <w:rsid w:val="00464067"/>
    <w:rsid w:val="00476121"/>
    <w:rsid w:val="004801E9"/>
    <w:rsid w:val="00483330"/>
    <w:rsid w:val="00483815"/>
    <w:rsid w:val="004B08CF"/>
    <w:rsid w:val="004E7C70"/>
    <w:rsid w:val="005148A5"/>
    <w:rsid w:val="00514AB0"/>
    <w:rsid w:val="00524CF5"/>
    <w:rsid w:val="00524E67"/>
    <w:rsid w:val="00527C3F"/>
    <w:rsid w:val="00556785"/>
    <w:rsid w:val="005767AE"/>
    <w:rsid w:val="005C318D"/>
    <w:rsid w:val="005F1197"/>
    <w:rsid w:val="006266D0"/>
    <w:rsid w:val="006406A9"/>
    <w:rsid w:val="00651809"/>
    <w:rsid w:val="00664E1C"/>
    <w:rsid w:val="0066550D"/>
    <w:rsid w:val="0067262A"/>
    <w:rsid w:val="006741A3"/>
    <w:rsid w:val="00693C1A"/>
    <w:rsid w:val="006B1252"/>
    <w:rsid w:val="006F2AE8"/>
    <w:rsid w:val="006F41F8"/>
    <w:rsid w:val="00722C6F"/>
    <w:rsid w:val="00725F53"/>
    <w:rsid w:val="00734A46"/>
    <w:rsid w:val="00735362"/>
    <w:rsid w:val="00754B1D"/>
    <w:rsid w:val="0075656B"/>
    <w:rsid w:val="007774E2"/>
    <w:rsid w:val="007832A4"/>
    <w:rsid w:val="00783602"/>
    <w:rsid w:val="007A2684"/>
    <w:rsid w:val="007A57A0"/>
    <w:rsid w:val="007B70C6"/>
    <w:rsid w:val="007C17FB"/>
    <w:rsid w:val="007D496F"/>
    <w:rsid w:val="007E70C5"/>
    <w:rsid w:val="00823678"/>
    <w:rsid w:val="008615F4"/>
    <w:rsid w:val="00876FDB"/>
    <w:rsid w:val="00881F42"/>
    <w:rsid w:val="008A45B3"/>
    <w:rsid w:val="008C31F3"/>
    <w:rsid w:val="008D1837"/>
    <w:rsid w:val="008D1DE8"/>
    <w:rsid w:val="008D2E5A"/>
    <w:rsid w:val="008D3D72"/>
    <w:rsid w:val="008D5B99"/>
    <w:rsid w:val="008E0CDE"/>
    <w:rsid w:val="008E1BE3"/>
    <w:rsid w:val="008E31E0"/>
    <w:rsid w:val="008F1374"/>
    <w:rsid w:val="009276D7"/>
    <w:rsid w:val="00954E1C"/>
    <w:rsid w:val="009708EE"/>
    <w:rsid w:val="009774E2"/>
    <w:rsid w:val="0099314D"/>
    <w:rsid w:val="009C205C"/>
    <w:rsid w:val="009C5360"/>
    <w:rsid w:val="009D041C"/>
    <w:rsid w:val="00A01B18"/>
    <w:rsid w:val="00A32DA7"/>
    <w:rsid w:val="00A829F0"/>
    <w:rsid w:val="00A86AC1"/>
    <w:rsid w:val="00AA76CF"/>
    <w:rsid w:val="00AB3C45"/>
    <w:rsid w:val="00AC0C7C"/>
    <w:rsid w:val="00AD67B7"/>
    <w:rsid w:val="00AE418B"/>
    <w:rsid w:val="00B002B9"/>
    <w:rsid w:val="00B102AF"/>
    <w:rsid w:val="00B2397C"/>
    <w:rsid w:val="00B24A5B"/>
    <w:rsid w:val="00B36016"/>
    <w:rsid w:val="00B47F2A"/>
    <w:rsid w:val="00B75D97"/>
    <w:rsid w:val="00B769F8"/>
    <w:rsid w:val="00B92937"/>
    <w:rsid w:val="00BA359E"/>
    <w:rsid w:val="00BA6E56"/>
    <w:rsid w:val="00BD5790"/>
    <w:rsid w:val="00BF10A1"/>
    <w:rsid w:val="00C279E6"/>
    <w:rsid w:val="00C50547"/>
    <w:rsid w:val="00C57363"/>
    <w:rsid w:val="00C61BAE"/>
    <w:rsid w:val="00CC633B"/>
    <w:rsid w:val="00CF68ED"/>
    <w:rsid w:val="00D0143A"/>
    <w:rsid w:val="00D2247C"/>
    <w:rsid w:val="00D22DDD"/>
    <w:rsid w:val="00D23159"/>
    <w:rsid w:val="00D55C89"/>
    <w:rsid w:val="00D864B9"/>
    <w:rsid w:val="00DA1050"/>
    <w:rsid w:val="00DE488B"/>
    <w:rsid w:val="00E02718"/>
    <w:rsid w:val="00E829CD"/>
    <w:rsid w:val="00EA698C"/>
    <w:rsid w:val="00EB2D45"/>
    <w:rsid w:val="00EB3173"/>
    <w:rsid w:val="00EE0388"/>
    <w:rsid w:val="00EE36D7"/>
    <w:rsid w:val="00F025B2"/>
    <w:rsid w:val="00F17A02"/>
    <w:rsid w:val="00F36EC9"/>
    <w:rsid w:val="00F6027B"/>
    <w:rsid w:val="00F71000"/>
    <w:rsid w:val="00F73BCC"/>
    <w:rsid w:val="00F83DC2"/>
    <w:rsid w:val="00F84F7E"/>
    <w:rsid w:val="00FB0938"/>
    <w:rsid w:val="00FB0ADB"/>
    <w:rsid w:val="00FB620D"/>
    <w:rsid w:val="00FC17F2"/>
    <w:rsid w:val="00FC45F3"/>
    <w:rsid w:val="00FC6AB2"/>
    <w:rsid w:val="00FD0AD0"/>
    <w:rsid w:val="00FE6A6D"/>
    <w:rsid w:val="00FF3B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AC35"/>
  <w15:chartTrackingRefBased/>
  <w15:docId w15:val="{EE86FAA3-A3CC-4C5B-B268-83C1680E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FAA"/>
    <w:rPr>
      <w:rFonts w:eastAsiaTheme="majorEastAsia" w:cstheme="majorBidi"/>
      <w:color w:val="272727" w:themeColor="text1" w:themeTint="D8"/>
    </w:rPr>
  </w:style>
  <w:style w:type="paragraph" w:styleId="Title">
    <w:name w:val="Title"/>
    <w:basedOn w:val="Normal"/>
    <w:next w:val="Normal"/>
    <w:link w:val="TitleChar"/>
    <w:uiPriority w:val="10"/>
    <w:qFormat/>
    <w:rsid w:val="002B6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FAA"/>
    <w:pPr>
      <w:spacing w:before="160"/>
      <w:jc w:val="center"/>
    </w:pPr>
    <w:rPr>
      <w:i/>
      <w:iCs/>
      <w:color w:val="404040" w:themeColor="text1" w:themeTint="BF"/>
    </w:rPr>
  </w:style>
  <w:style w:type="character" w:customStyle="1" w:styleId="QuoteChar">
    <w:name w:val="Quote Char"/>
    <w:basedOn w:val="DefaultParagraphFont"/>
    <w:link w:val="Quote"/>
    <w:uiPriority w:val="29"/>
    <w:rsid w:val="002B6FAA"/>
    <w:rPr>
      <w:i/>
      <w:iCs/>
      <w:color w:val="404040" w:themeColor="text1" w:themeTint="BF"/>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B6FAA"/>
    <w:pPr>
      <w:ind w:left="720"/>
      <w:contextualSpacing/>
    </w:pPr>
  </w:style>
  <w:style w:type="character" w:styleId="IntenseEmphasis">
    <w:name w:val="Intense Emphasis"/>
    <w:basedOn w:val="DefaultParagraphFont"/>
    <w:uiPriority w:val="21"/>
    <w:qFormat/>
    <w:rsid w:val="002B6FAA"/>
    <w:rPr>
      <w:i/>
      <w:iCs/>
      <w:color w:val="0F4761" w:themeColor="accent1" w:themeShade="BF"/>
    </w:rPr>
  </w:style>
  <w:style w:type="paragraph" w:styleId="IntenseQuote">
    <w:name w:val="Intense Quote"/>
    <w:basedOn w:val="Normal"/>
    <w:next w:val="Normal"/>
    <w:link w:val="IntenseQuoteChar"/>
    <w:uiPriority w:val="30"/>
    <w:qFormat/>
    <w:rsid w:val="002B6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FAA"/>
    <w:rPr>
      <w:i/>
      <w:iCs/>
      <w:color w:val="0F4761" w:themeColor="accent1" w:themeShade="BF"/>
    </w:rPr>
  </w:style>
  <w:style w:type="character" w:styleId="IntenseReference">
    <w:name w:val="Intense Reference"/>
    <w:basedOn w:val="DefaultParagraphFont"/>
    <w:uiPriority w:val="32"/>
    <w:qFormat/>
    <w:rsid w:val="002B6FAA"/>
    <w:rPr>
      <w:b/>
      <w:bCs/>
      <w:smallCaps/>
      <w:color w:val="0F4761" w:themeColor="accent1" w:themeShade="BF"/>
      <w:spacing w:val="5"/>
    </w:rPr>
  </w:style>
  <w:style w:type="table" w:styleId="TableGrid">
    <w:name w:val="Table Grid"/>
    <w:basedOn w:val="TableNormal"/>
    <w:uiPriority w:val="59"/>
    <w:rsid w:val="00BA6E5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BA6E56"/>
  </w:style>
  <w:style w:type="paragraph" w:styleId="Revision">
    <w:name w:val="Revision"/>
    <w:hidden/>
    <w:uiPriority w:val="99"/>
    <w:semiHidden/>
    <w:rsid w:val="00D0143A"/>
    <w:pPr>
      <w:spacing w:after="0" w:line="240" w:lineRule="auto"/>
    </w:pPr>
  </w:style>
  <w:style w:type="character" w:styleId="CommentReference">
    <w:name w:val="annotation reference"/>
    <w:basedOn w:val="DefaultParagraphFont"/>
    <w:uiPriority w:val="99"/>
    <w:semiHidden/>
    <w:unhideWhenUsed/>
    <w:rsid w:val="008F1374"/>
    <w:rPr>
      <w:sz w:val="16"/>
      <w:szCs w:val="16"/>
    </w:rPr>
  </w:style>
  <w:style w:type="paragraph" w:styleId="CommentText">
    <w:name w:val="annotation text"/>
    <w:basedOn w:val="Normal"/>
    <w:link w:val="CommentTextChar"/>
    <w:uiPriority w:val="99"/>
    <w:unhideWhenUsed/>
    <w:rsid w:val="008F1374"/>
    <w:pPr>
      <w:spacing w:line="240" w:lineRule="auto"/>
    </w:pPr>
    <w:rPr>
      <w:sz w:val="20"/>
      <w:szCs w:val="20"/>
    </w:rPr>
  </w:style>
  <w:style w:type="character" w:customStyle="1" w:styleId="CommentTextChar">
    <w:name w:val="Comment Text Char"/>
    <w:basedOn w:val="DefaultParagraphFont"/>
    <w:link w:val="CommentText"/>
    <w:uiPriority w:val="99"/>
    <w:rsid w:val="008F1374"/>
    <w:rPr>
      <w:sz w:val="20"/>
      <w:szCs w:val="20"/>
    </w:rPr>
  </w:style>
  <w:style w:type="paragraph" w:styleId="CommentSubject">
    <w:name w:val="annotation subject"/>
    <w:basedOn w:val="CommentText"/>
    <w:next w:val="CommentText"/>
    <w:link w:val="CommentSubjectChar"/>
    <w:uiPriority w:val="99"/>
    <w:semiHidden/>
    <w:unhideWhenUsed/>
    <w:rsid w:val="008F1374"/>
    <w:rPr>
      <w:b/>
      <w:bCs/>
    </w:rPr>
  </w:style>
  <w:style w:type="character" w:customStyle="1" w:styleId="CommentSubjectChar">
    <w:name w:val="Comment Subject Char"/>
    <w:basedOn w:val="CommentTextChar"/>
    <w:link w:val="CommentSubject"/>
    <w:uiPriority w:val="99"/>
    <w:semiHidden/>
    <w:rsid w:val="008F13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804</Words>
  <Characters>4714</Characters>
  <Application>Microsoft Office Word</Application>
  <DocSecurity>0</DocSecurity>
  <Lines>152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Taituave-Afereti</dc:creator>
  <cp:keywords/>
  <dc:description/>
  <cp:lastModifiedBy>Kathleen Taituave-Afereti</cp:lastModifiedBy>
  <cp:revision>4</cp:revision>
  <dcterms:created xsi:type="dcterms:W3CDTF">2026-03-23T00:16:00Z</dcterms:created>
  <dcterms:modified xsi:type="dcterms:W3CDTF">2026-03-26T00:54:00Z</dcterms:modified>
</cp:coreProperties>
</file>