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D890B" w14:textId="49DDA02F" w:rsidR="008E4D19" w:rsidRPr="00AE6134" w:rsidRDefault="005E220A" w:rsidP="00C15458">
      <w:pPr>
        <w:autoSpaceDE w:val="0"/>
        <w:autoSpaceDN w:val="0"/>
        <w:adjustRightInd w:val="0"/>
        <w:spacing w:after="120"/>
        <w:jc w:val="center"/>
        <w:rPr>
          <w:rFonts w:ascii="Calibri" w:hAnsi="Calibri" w:cs="Calibri"/>
          <w:b/>
          <w:bCs/>
          <w:color w:val="000000"/>
          <w:lang w:val="en-AU"/>
        </w:rPr>
      </w:pPr>
      <w:r w:rsidRPr="00AE6134">
        <w:rPr>
          <w:rFonts w:ascii="Calibri" w:eastAsia="Calibri" w:hAnsi="Calibri" w:cs="Calibri"/>
          <w:b/>
          <w:color w:val="000000"/>
          <w:lang w:val="fr-FR" w:bidi="fr-FR"/>
        </w:rPr>
        <w:t>PROJET de mandat du groupe de travail des membres du PROE :</w:t>
      </w:r>
      <w:r w:rsidRPr="00AE6134">
        <w:rPr>
          <w:rFonts w:ascii="Calibri" w:eastAsia="Calibri" w:hAnsi="Calibri" w:cs="Calibri"/>
          <w:b/>
          <w:color w:val="000000"/>
          <w:lang w:val="fr-FR" w:bidi="fr-FR"/>
        </w:rPr>
        <w:br/>
        <w:t xml:space="preserve">fournir des conseils et un appui en vue de la préparation, pour la période 2027-2036, du </w:t>
      </w:r>
      <w:r w:rsidRPr="00AE6134">
        <w:rPr>
          <w:rFonts w:ascii="Calibri" w:eastAsia="Calibri" w:hAnsi="Calibri" w:cs="Calibri"/>
          <w:b/>
          <w:color w:val="000000"/>
          <w:lang w:val="fr-FR" w:bidi="fr-FR"/>
        </w:rPr>
        <w:br/>
        <w:t>Plan stratégique du PROE</w:t>
      </w:r>
    </w:p>
    <w:p w14:paraId="52580CD2" w14:textId="77777777" w:rsidR="00DE3A4B" w:rsidRDefault="00DE3A4B" w:rsidP="00DE3A4B">
      <w:pPr>
        <w:pStyle w:val="ListParagraph"/>
        <w:autoSpaceDE w:val="0"/>
        <w:autoSpaceDN w:val="0"/>
        <w:adjustRightInd w:val="0"/>
        <w:spacing w:line="276" w:lineRule="auto"/>
        <w:ind w:left="360"/>
        <w:rPr>
          <w:rFonts w:ascii="Calibri" w:hAnsi="Calibri" w:cs="Calibri"/>
          <w:color w:val="000000"/>
          <w:sz w:val="22"/>
          <w:szCs w:val="22"/>
          <w:lang w:val="en-AU"/>
        </w:rPr>
      </w:pPr>
    </w:p>
    <w:p w14:paraId="7165D8EE" w14:textId="77777777" w:rsidR="00AE6134" w:rsidRPr="00C34841" w:rsidRDefault="00AE6134" w:rsidP="00DE3A4B">
      <w:pPr>
        <w:pStyle w:val="ListParagraph"/>
        <w:autoSpaceDE w:val="0"/>
        <w:autoSpaceDN w:val="0"/>
        <w:adjustRightInd w:val="0"/>
        <w:spacing w:line="276" w:lineRule="auto"/>
        <w:ind w:left="360"/>
        <w:rPr>
          <w:rFonts w:ascii="Calibri" w:hAnsi="Calibri" w:cs="Calibri"/>
          <w:color w:val="000000"/>
          <w:sz w:val="22"/>
          <w:szCs w:val="22"/>
          <w:lang w:val="en-AU"/>
        </w:rPr>
      </w:pPr>
    </w:p>
    <w:p w14:paraId="42F19622" w14:textId="53E6D6F0" w:rsidR="00DE3A4B" w:rsidRPr="00C34841" w:rsidRDefault="00DE3A4B" w:rsidP="009A7246">
      <w:pPr>
        <w:pStyle w:val="ListParagraph"/>
        <w:numPr>
          <w:ilvl w:val="0"/>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Principaux objectifs du groupe de travail des membres :</w:t>
      </w:r>
    </w:p>
    <w:p w14:paraId="2055FE71" w14:textId="77777777" w:rsidR="00DE3A4B" w:rsidRPr="00C34841" w:rsidRDefault="00DE3A4B" w:rsidP="009A7246">
      <w:pPr>
        <w:pStyle w:val="ListParagraph"/>
        <w:jc w:val="both"/>
        <w:rPr>
          <w:rFonts w:ascii="Calibri" w:hAnsi="Calibri" w:cs="Calibri"/>
          <w:color w:val="000000"/>
          <w:sz w:val="22"/>
          <w:szCs w:val="22"/>
          <w:lang w:val="en-AU"/>
        </w:rPr>
      </w:pPr>
    </w:p>
    <w:p w14:paraId="2EE18D17" w14:textId="65611CBE" w:rsidR="00DE3A4B" w:rsidRPr="00C34841" w:rsidRDefault="00DE3A4B" w:rsidP="009A7246">
      <w:pPr>
        <w:pStyle w:val="ListParagraph"/>
        <w:numPr>
          <w:ilvl w:val="1"/>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Soutenir et faciliter la consultation auprès de tous les membres du PROE afin d'obtenir des commentaires en temps opportun sur les projets de documents du Plan stratégique préparés par le PROE.</w:t>
      </w:r>
    </w:p>
    <w:p w14:paraId="468B1E45" w14:textId="1BBF5D03" w:rsidR="00A10F3C" w:rsidRPr="00C34841" w:rsidRDefault="00A10F3C" w:rsidP="009A7246">
      <w:pPr>
        <w:pStyle w:val="ListParagraph"/>
        <w:numPr>
          <w:ilvl w:val="1"/>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Examiner la cohérence du Plan stratégique avec la Stratégie 2050 pour le continent Bleu du Pacifique et avec d'autres stratégies nationales, régionales et mondiales pertinentes pour le mandat du PROE.</w:t>
      </w:r>
    </w:p>
    <w:p w14:paraId="114BAD0A" w14:textId="2E852C73" w:rsidR="00A10F3C" w:rsidRPr="00C34841" w:rsidRDefault="00A10F3C" w:rsidP="009A7246">
      <w:pPr>
        <w:pStyle w:val="ListParagraph"/>
        <w:numPr>
          <w:ilvl w:val="1"/>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Appuyer, si nécessaire, les consultations sur le plan stratégique du PROE avec les partenaires régionaux et les bailleurs de fonds.</w:t>
      </w:r>
    </w:p>
    <w:p w14:paraId="75377963" w14:textId="77777777" w:rsidR="00775FB2" w:rsidRPr="00C34841" w:rsidRDefault="00775FB2" w:rsidP="009A7246">
      <w:pPr>
        <w:pStyle w:val="ListParagraph"/>
        <w:autoSpaceDE w:val="0"/>
        <w:autoSpaceDN w:val="0"/>
        <w:adjustRightInd w:val="0"/>
        <w:spacing w:line="276" w:lineRule="auto"/>
        <w:ind w:left="360"/>
        <w:jc w:val="both"/>
        <w:rPr>
          <w:rFonts w:ascii="Calibri" w:hAnsi="Calibri" w:cs="Calibri"/>
          <w:color w:val="000000"/>
          <w:sz w:val="22"/>
          <w:szCs w:val="22"/>
          <w:lang w:val="en-AU"/>
        </w:rPr>
      </w:pPr>
    </w:p>
    <w:p w14:paraId="1088C715" w14:textId="785723A4" w:rsidR="00F95656" w:rsidRPr="00C34841" w:rsidRDefault="008E4D19" w:rsidP="009A7246">
      <w:pPr>
        <w:pStyle w:val="ListParagraph"/>
        <w:numPr>
          <w:ilvl w:val="0"/>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 xml:space="preserve">Le groupe de travail des membres collaborera étroitement avec la direction du PROE, l'équipe de direction et le département de la planification stratégique, des partenariats et de la mobilisation des ressources. </w:t>
      </w:r>
    </w:p>
    <w:p w14:paraId="6A4A3CC1" w14:textId="77777777" w:rsidR="00F95656" w:rsidRPr="00C34841" w:rsidRDefault="00F95656" w:rsidP="009A7246">
      <w:pPr>
        <w:pStyle w:val="ListParagraph"/>
        <w:jc w:val="both"/>
        <w:rPr>
          <w:rFonts w:ascii="Calibri" w:hAnsi="Calibri" w:cs="Calibri"/>
          <w:color w:val="000000"/>
          <w:sz w:val="22"/>
          <w:szCs w:val="22"/>
          <w:lang w:val="en-AU"/>
        </w:rPr>
      </w:pPr>
    </w:p>
    <w:p w14:paraId="4B989B03" w14:textId="7E0562EE" w:rsidR="009B6B15" w:rsidRPr="00C34841" w:rsidRDefault="009B6B15" w:rsidP="009A7246">
      <w:pPr>
        <w:pStyle w:val="ListParagraph"/>
        <w:numPr>
          <w:ilvl w:val="0"/>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 xml:space="preserve">Le groupe de travail servira de trait d'union entre le PROE et les membres, dans le cadre de la planification stratégique. Les membres seront également consultés sur les priorités stratégiques par le biais de divers mécanismes existants, notamment le Conseil météorologique des îles du Pacifique, la Table ronde sur le changement climatique dans le Pacifique, la Table ronde pour un Pacifique propre, la Table ronde océanienne pour la conservation de la nature, le dialogue des partenaires du PROE, les cadres de partenariat stratégique par pays et territoires, ou encore d'autres processus de planification stratégique au niveau national, soutenus par le PROE. </w:t>
      </w:r>
    </w:p>
    <w:p w14:paraId="387FACA3" w14:textId="77777777" w:rsidR="009B6B15" w:rsidRPr="00C34841" w:rsidRDefault="009B6B15" w:rsidP="009A7246">
      <w:pPr>
        <w:pStyle w:val="ListParagraph"/>
        <w:jc w:val="both"/>
        <w:rPr>
          <w:rFonts w:ascii="Calibri" w:hAnsi="Calibri" w:cs="Calibri"/>
          <w:color w:val="000000"/>
          <w:sz w:val="22"/>
          <w:szCs w:val="22"/>
          <w:lang w:val="en-AU"/>
        </w:rPr>
      </w:pPr>
    </w:p>
    <w:p w14:paraId="7585A1C8" w14:textId="79EB2E36" w:rsidR="00CC3E4C" w:rsidRPr="00C34841" w:rsidRDefault="008E4D19" w:rsidP="009A7246">
      <w:pPr>
        <w:pStyle w:val="ListParagraph"/>
        <w:numPr>
          <w:ilvl w:val="0"/>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Le soutien logistique aux réunions du groupe de travail des membres sera fourni par le Département de la planification stratégique, des partenariats et de la mobilisation des ressources du PROE. Toutes les réunions du groupe de travail auront lieu en ligne, et se dérouleront en anglais.</w:t>
      </w:r>
    </w:p>
    <w:p w14:paraId="229C65E7" w14:textId="77777777" w:rsidR="00CC3E4C" w:rsidRPr="00C34841" w:rsidRDefault="00CC3E4C" w:rsidP="009A7246">
      <w:pPr>
        <w:pStyle w:val="ListParagraph"/>
        <w:jc w:val="both"/>
        <w:rPr>
          <w:rFonts w:ascii="Calibri" w:hAnsi="Calibri" w:cs="Calibri"/>
          <w:color w:val="000000"/>
          <w:sz w:val="22"/>
          <w:szCs w:val="22"/>
          <w:lang w:val="en-AU"/>
        </w:rPr>
      </w:pPr>
    </w:p>
    <w:p w14:paraId="29BE02C4" w14:textId="26606F3F" w:rsidR="008E4D19" w:rsidRPr="00C34841" w:rsidRDefault="000734CC" w:rsidP="009A7246">
      <w:pPr>
        <w:pStyle w:val="ListParagraph"/>
        <w:numPr>
          <w:ilvl w:val="0"/>
          <w:numId w:val="1"/>
        </w:numPr>
        <w:autoSpaceDE w:val="0"/>
        <w:autoSpaceDN w:val="0"/>
        <w:adjustRightInd w:val="0"/>
        <w:spacing w:line="276" w:lineRule="auto"/>
        <w:jc w:val="both"/>
        <w:rPr>
          <w:rFonts w:ascii="Calibri" w:hAnsi="Calibri" w:cs="Calibri"/>
          <w:color w:val="000000"/>
          <w:sz w:val="22"/>
          <w:szCs w:val="22"/>
          <w:lang w:val="en-AU"/>
        </w:rPr>
      </w:pPr>
      <w:r w:rsidRPr="00C34841">
        <w:rPr>
          <w:rFonts w:ascii="Calibri" w:eastAsia="Calibri" w:hAnsi="Calibri" w:cs="Calibri"/>
          <w:color w:val="000000"/>
          <w:sz w:val="22"/>
          <w:szCs w:val="22"/>
          <w:lang w:val="fr-FR" w:bidi="fr-FR"/>
        </w:rPr>
        <w:t>Les résultats et les recommandations issus des réunions du groupe de travail seront communiqués directement à la Troïka et à l'équipe de direction du PROE.</w:t>
      </w:r>
    </w:p>
    <w:sectPr w:rsidR="008E4D19" w:rsidRPr="00C34841">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7B72" w14:textId="77777777" w:rsidR="001C449C" w:rsidRDefault="001C449C" w:rsidP="00CD0C75">
      <w:r>
        <w:separator/>
      </w:r>
    </w:p>
  </w:endnote>
  <w:endnote w:type="continuationSeparator" w:id="0">
    <w:p w14:paraId="7AE53041" w14:textId="77777777" w:rsidR="001C449C" w:rsidRDefault="001C449C" w:rsidP="00CD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C999" w14:textId="77777777" w:rsidR="00CD0C75" w:rsidRDefault="00CD0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BE15" w14:textId="77777777" w:rsidR="001C449C" w:rsidRDefault="001C449C" w:rsidP="00CD0C75">
      <w:r>
        <w:separator/>
      </w:r>
    </w:p>
  </w:footnote>
  <w:footnote w:type="continuationSeparator" w:id="0">
    <w:p w14:paraId="5A9D06FC" w14:textId="77777777" w:rsidR="001C449C" w:rsidRDefault="001C449C" w:rsidP="00CD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B0D7F"/>
    <w:multiLevelType w:val="hybridMultilevel"/>
    <w:tmpl w:val="29063F5C"/>
    <w:lvl w:ilvl="0" w:tplc="03F65A3A">
      <w:start w:val="1"/>
      <w:numFmt w:val="lowerLetter"/>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CC2CA6"/>
    <w:multiLevelType w:val="hybridMultilevel"/>
    <w:tmpl w:val="9F609E34"/>
    <w:lvl w:ilvl="0" w:tplc="DD8E2974">
      <w:start w:val="1"/>
      <w:numFmt w:val="decimal"/>
      <w:lvlText w:val="%1."/>
      <w:lvlJc w:val="left"/>
      <w:pPr>
        <w:ind w:left="360" w:hanging="360"/>
      </w:pPr>
      <w:rPr>
        <w:rFonts w:hint="default"/>
        <w:b/>
        <w:bCs/>
      </w:rPr>
    </w:lvl>
    <w:lvl w:ilvl="1" w:tplc="B860EF26">
      <w:start w:val="1"/>
      <w:numFmt w:val="lowerLetter"/>
      <w:lvlText w:val="%2."/>
      <w:lvlJc w:val="left"/>
      <w:pPr>
        <w:ind w:left="1080" w:hanging="360"/>
      </w:pPr>
      <w:rPr>
        <w:b/>
        <w:bCs/>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79929B4"/>
    <w:multiLevelType w:val="hybridMultilevel"/>
    <w:tmpl w:val="0DE2D35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3054905">
    <w:abstractNumId w:val="1"/>
  </w:num>
  <w:num w:numId="2" w16cid:durableId="733241416">
    <w:abstractNumId w:val="2"/>
  </w:num>
  <w:num w:numId="3" w16cid:durableId="170748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19"/>
    <w:rsid w:val="00036307"/>
    <w:rsid w:val="00040431"/>
    <w:rsid w:val="000446D1"/>
    <w:rsid w:val="0005486F"/>
    <w:rsid w:val="00054A18"/>
    <w:rsid w:val="00063D19"/>
    <w:rsid w:val="000734CC"/>
    <w:rsid w:val="0007408B"/>
    <w:rsid w:val="000778E3"/>
    <w:rsid w:val="000C49C3"/>
    <w:rsid w:val="000C6EE7"/>
    <w:rsid w:val="000D019A"/>
    <w:rsid w:val="000D4D6E"/>
    <w:rsid w:val="00137586"/>
    <w:rsid w:val="001513F9"/>
    <w:rsid w:val="00160C53"/>
    <w:rsid w:val="0018440B"/>
    <w:rsid w:val="001A7C4B"/>
    <w:rsid w:val="001B4E56"/>
    <w:rsid w:val="001C449C"/>
    <w:rsid w:val="001E4EC8"/>
    <w:rsid w:val="001E700D"/>
    <w:rsid w:val="001F12AF"/>
    <w:rsid w:val="00222326"/>
    <w:rsid w:val="00234192"/>
    <w:rsid w:val="0025545E"/>
    <w:rsid w:val="002761E2"/>
    <w:rsid w:val="00295397"/>
    <w:rsid w:val="002C6235"/>
    <w:rsid w:val="002F1805"/>
    <w:rsid w:val="002F274E"/>
    <w:rsid w:val="00304E18"/>
    <w:rsid w:val="00310870"/>
    <w:rsid w:val="003237E1"/>
    <w:rsid w:val="003410E3"/>
    <w:rsid w:val="0038305E"/>
    <w:rsid w:val="00391A49"/>
    <w:rsid w:val="003C6A38"/>
    <w:rsid w:val="003E7634"/>
    <w:rsid w:val="0042393A"/>
    <w:rsid w:val="00424EE0"/>
    <w:rsid w:val="00430BA7"/>
    <w:rsid w:val="004405A3"/>
    <w:rsid w:val="00444AF1"/>
    <w:rsid w:val="00447131"/>
    <w:rsid w:val="00486CA0"/>
    <w:rsid w:val="00497A56"/>
    <w:rsid w:val="004E5F51"/>
    <w:rsid w:val="004F09DA"/>
    <w:rsid w:val="004F5074"/>
    <w:rsid w:val="0052671C"/>
    <w:rsid w:val="005322F3"/>
    <w:rsid w:val="00536743"/>
    <w:rsid w:val="00563460"/>
    <w:rsid w:val="00566B2F"/>
    <w:rsid w:val="00584809"/>
    <w:rsid w:val="005965D3"/>
    <w:rsid w:val="005A6057"/>
    <w:rsid w:val="005E220A"/>
    <w:rsid w:val="005E66AF"/>
    <w:rsid w:val="005E7755"/>
    <w:rsid w:val="0064599C"/>
    <w:rsid w:val="00665C52"/>
    <w:rsid w:val="006868B8"/>
    <w:rsid w:val="006878EC"/>
    <w:rsid w:val="006A2C3D"/>
    <w:rsid w:val="006C2D4B"/>
    <w:rsid w:val="006D3F0B"/>
    <w:rsid w:val="006D5987"/>
    <w:rsid w:val="00700288"/>
    <w:rsid w:val="007142FD"/>
    <w:rsid w:val="00725B4E"/>
    <w:rsid w:val="0074486B"/>
    <w:rsid w:val="007519EB"/>
    <w:rsid w:val="00762488"/>
    <w:rsid w:val="007722A8"/>
    <w:rsid w:val="00775FB2"/>
    <w:rsid w:val="00796D28"/>
    <w:rsid w:val="007A3723"/>
    <w:rsid w:val="007A7D71"/>
    <w:rsid w:val="007C46EC"/>
    <w:rsid w:val="007C5FAB"/>
    <w:rsid w:val="007D3049"/>
    <w:rsid w:val="007F6076"/>
    <w:rsid w:val="007F6B5F"/>
    <w:rsid w:val="008115C6"/>
    <w:rsid w:val="00821C81"/>
    <w:rsid w:val="00883310"/>
    <w:rsid w:val="00883819"/>
    <w:rsid w:val="008C4E07"/>
    <w:rsid w:val="008D6DA9"/>
    <w:rsid w:val="008E3A29"/>
    <w:rsid w:val="008E4D19"/>
    <w:rsid w:val="008E58FF"/>
    <w:rsid w:val="008E73AC"/>
    <w:rsid w:val="00926E7C"/>
    <w:rsid w:val="00933FB2"/>
    <w:rsid w:val="009378B7"/>
    <w:rsid w:val="00940701"/>
    <w:rsid w:val="00944FBA"/>
    <w:rsid w:val="00953F05"/>
    <w:rsid w:val="00961D82"/>
    <w:rsid w:val="00987870"/>
    <w:rsid w:val="00990B10"/>
    <w:rsid w:val="009A7246"/>
    <w:rsid w:val="009B4D68"/>
    <w:rsid w:val="009B6B15"/>
    <w:rsid w:val="009D1522"/>
    <w:rsid w:val="00A0195D"/>
    <w:rsid w:val="00A10F3C"/>
    <w:rsid w:val="00A200DD"/>
    <w:rsid w:val="00AA2002"/>
    <w:rsid w:val="00AB69AD"/>
    <w:rsid w:val="00AC03D4"/>
    <w:rsid w:val="00AC392E"/>
    <w:rsid w:val="00AE5A4C"/>
    <w:rsid w:val="00AE6134"/>
    <w:rsid w:val="00AF2A6B"/>
    <w:rsid w:val="00B3532A"/>
    <w:rsid w:val="00B3574F"/>
    <w:rsid w:val="00B41CEE"/>
    <w:rsid w:val="00B67EC4"/>
    <w:rsid w:val="00B72728"/>
    <w:rsid w:val="00B75667"/>
    <w:rsid w:val="00B9304C"/>
    <w:rsid w:val="00B93402"/>
    <w:rsid w:val="00BA1441"/>
    <w:rsid w:val="00BD16D8"/>
    <w:rsid w:val="00BD1E3A"/>
    <w:rsid w:val="00BD4591"/>
    <w:rsid w:val="00BF16F7"/>
    <w:rsid w:val="00BF1F9A"/>
    <w:rsid w:val="00C15458"/>
    <w:rsid w:val="00C200C5"/>
    <w:rsid w:val="00C24036"/>
    <w:rsid w:val="00C2533E"/>
    <w:rsid w:val="00C34841"/>
    <w:rsid w:val="00C35596"/>
    <w:rsid w:val="00C66AB4"/>
    <w:rsid w:val="00C851F1"/>
    <w:rsid w:val="00C858B4"/>
    <w:rsid w:val="00CC2031"/>
    <w:rsid w:val="00CC3E4C"/>
    <w:rsid w:val="00CD0C75"/>
    <w:rsid w:val="00CE2C8F"/>
    <w:rsid w:val="00CE7613"/>
    <w:rsid w:val="00D00990"/>
    <w:rsid w:val="00D05054"/>
    <w:rsid w:val="00D14884"/>
    <w:rsid w:val="00D54B77"/>
    <w:rsid w:val="00DA104A"/>
    <w:rsid w:val="00DA1DD7"/>
    <w:rsid w:val="00DD2BBA"/>
    <w:rsid w:val="00DE3A4B"/>
    <w:rsid w:val="00DE6699"/>
    <w:rsid w:val="00E04793"/>
    <w:rsid w:val="00E116E2"/>
    <w:rsid w:val="00E249F9"/>
    <w:rsid w:val="00E36B28"/>
    <w:rsid w:val="00E37DE2"/>
    <w:rsid w:val="00E4671D"/>
    <w:rsid w:val="00E707D4"/>
    <w:rsid w:val="00E70F7B"/>
    <w:rsid w:val="00EB45C8"/>
    <w:rsid w:val="00EC6569"/>
    <w:rsid w:val="00F31BC7"/>
    <w:rsid w:val="00F33283"/>
    <w:rsid w:val="00F34B88"/>
    <w:rsid w:val="00F95656"/>
    <w:rsid w:val="00F96E97"/>
    <w:rsid w:val="00FA0221"/>
    <w:rsid w:val="00FA2393"/>
    <w:rsid w:val="00FB67C1"/>
    <w:rsid w:val="00FE0AC3"/>
    <w:rsid w:val="00FE77DC"/>
    <w:rsid w:val="00FF4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DA13"/>
  <w15:chartTrackingRefBased/>
  <w15:docId w15:val="{21E57859-DBAB-46AC-8D26-02EB404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19"/>
    <w:pPr>
      <w:spacing w:after="0" w:line="240" w:lineRule="auto"/>
    </w:pPr>
    <w:rPr>
      <w:rFonts w:ascii="Times New Roman" w:eastAsia="Arial Unicode MS"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E4D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D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D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D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D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D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D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D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D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D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D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D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D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D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D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D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D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D19"/>
    <w:rPr>
      <w:rFonts w:eastAsiaTheme="majorEastAsia" w:cstheme="majorBidi"/>
      <w:color w:val="272727" w:themeColor="text1" w:themeTint="D8"/>
    </w:rPr>
  </w:style>
  <w:style w:type="paragraph" w:styleId="Title">
    <w:name w:val="Title"/>
    <w:basedOn w:val="Normal"/>
    <w:next w:val="Normal"/>
    <w:link w:val="TitleChar"/>
    <w:uiPriority w:val="10"/>
    <w:qFormat/>
    <w:rsid w:val="008E4D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D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D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D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D19"/>
    <w:pPr>
      <w:spacing w:before="160"/>
      <w:jc w:val="center"/>
    </w:pPr>
    <w:rPr>
      <w:i/>
      <w:iCs/>
      <w:color w:val="404040" w:themeColor="text1" w:themeTint="BF"/>
    </w:rPr>
  </w:style>
  <w:style w:type="character" w:customStyle="1" w:styleId="QuoteChar">
    <w:name w:val="Quote Char"/>
    <w:basedOn w:val="DefaultParagraphFont"/>
    <w:link w:val="Quote"/>
    <w:uiPriority w:val="29"/>
    <w:rsid w:val="008E4D19"/>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
    <w:basedOn w:val="Normal"/>
    <w:link w:val="ListParagraphChar"/>
    <w:uiPriority w:val="34"/>
    <w:qFormat/>
    <w:rsid w:val="008E4D19"/>
    <w:pPr>
      <w:ind w:left="720"/>
      <w:contextualSpacing/>
    </w:pPr>
  </w:style>
  <w:style w:type="character" w:styleId="IntenseEmphasis">
    <w:name w:val="Intense Emphasis"/>
    <w:basedOn w:val="DefaultParagraphFont"/>
    <w:uiPriority w:val="21"/>
    <w:qFormat/>
    <w:rsid w:val="008E4D19"/>
    <w:rPr>
      <w:i/>
      <w:iCs/>
      <w:color w:val="2F5496" w:themeColor="accent1" w:themeShade="BF"/>
    </w:rPr>
  </w:style>
  <w:style w:type="paragraph" w:styleId="IntenseQuote">
    <w:name w:val="Intense Quote"/>
    <w:basedOn w:val="Normal"/>
    <w:next w:val="Normal"/>
    <w:link w:val="IntenseQuoteChar"/>
    <w:uiPriority w:val="30"/>
    <w:qFormat/>
    <w:rsid w:val="008E4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D19"/>
    <w:rPr>
      <w:i/>
      <w:iCs/>
      <w:color w:val="2F5496" w:themeColor="accent1" w:themeShade="BF"/>
    </w:rPr>
  </w:style>
  <w:style w:type="character" w:styleId="IntenseReference">
    <w:name w:val="Intense Reference"/>
    <w:basedOn w:val="DefaultParagraphFont"/>
    <w:uiPriority w:val="32"/>
    <w:qFormat/>
    <w:rsid w:val="008E4D19"/>
    <w:rPr>
      <w:b/>
      <w:bCs/>
      <w:smallCaps/>
      <w:color w:val="2F5496" w:themeColor="accent1" w:themeShade="BF"/>
      <w:spacing w:val="5"/>
    </w:rPr>
  </w:style>
  <w:style w:type="paragraph" w:styleId="Header">
    <w:name w:val="header"/>
    <w:basedOn w:val="Normal"/>
    <w:link w:val="HeaderChar"/>
    <w:uiPriority w:val="99"/>
    <w:unhideWhenUsed/>
    <w:rsid w:val="00CD0C75"/>
    <w:pPr>
      <w:tabs>
        <w:tab w:val="center" w:pos="4513"/>
        <w:tab w:val="right" w:pos="9026"/>
      </w:tabs>
    </w:pPr>
  </w:style>
  <w:style w:type="character" w:customStyle="1" w:styleId="HeaderChar">
    <w:name w:val="Header Char"/>
    <w:basedOn w:val="DefaultParagraphFont"/>
    <w:link w:val="Header"/>
    <w:uiPriority w:val="99"/>
    <w:rsid w:val="00CD0C75"/>
    <w:rPr>
      <w:rFonts w:ascii="Times New Roman" w:eastAsia="Arial Unicode MS" w:hAnsi="Times New Roman" w:cs="Times New Roman"/>
      <w:kern w:val="0"/>
      <w:sz w:val="24"/>
      <w:szCs w:val="24"/>
      <w:lang w:val="en-US"/>
      <w14:ligatures w14:val="none"/>
    </w:rPr>
  </w:style>
  <w:style w:type="paragraph" w:styleId="Footer">
    <w:name w:val="footer"/>
    <w:basedOn w:val="Normal"/>
    <w:link w:val="FooterChar"/>
    <w:uiPriority w:val="99"/>
    <w:unhideWhenUsed/>
    <w:rsid w:val="00CD0C75"/>
    <w:pPr>
      <w:tabs>
        <w:tab w:val="center" w:pos="4513"/>
        <w:tab w:val="right" w:pos="9026"/>
      </w:tabs>
    </w:pPr>
  </w:style>
  <w:style w:type="character" w:customStyle="1" w:styleId="FooterChar">
    <w:name w:val="Footer Char"/>
    <w:basedOn w:val="DefaultParagraphFont"/>
    <w:link w:val="Footer"/>
    <w:uiPriority w:val="99"/>
    <w:rsid w:val="00CD0C75"/>
    <w:rPr>
      <w:rFonts w:ascii="Times New Roman" w:eastAsia="Arial Unicode MS" w:hAnsi="Times New Roman" w:cs="Times New Roman"/>
      <w:kern w:val="0"/>
      <w:sz w:val="24"/>
      <w:szCs w:val="24"/>
      <w:lang w:val="en-US"/>
      <w14:ligatures w14:val="none"/>
    </w:rPr>
  </w:style>
  <w:style w:type="paragraph" w:styleId="EndnoteText">
    <w:name w:val="endnote text"/>
    <w:basedOn w:val="Normal"/>
    <w:link w:val="EndnoteTextChar"/>
    <w:uiPriority w:val="99"/>
    <w:semiHidden/>
    <w:unhideWhenUsed/>
    <w:rsid w:val="001F12AF"/>
    <w:rPr>
      <w:sz w:val="20"/>
      <w:szCs w:val="20"/>
    </w:rPr>
  </w:style>
  <w:style w:type="character" w:customStyle="1" w:styleId="EndnoteTextChar">
    <w:name w:val="Endnote Text Char"/>
    <w:basedOn w:val="DefaultParagraphFont"/>
    <w:link w:val="EndnoteText"/>
    <w:uiPriority w:val="99"/>
    <w:semiHidden/>
    <w:rsid w:val="001F12AF"/>
    <w:rPr>
      <w:rFonts w:ascii="Times New Roman" w:eastAsia="Arial Unicode MS"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1F12AF"/>
    <w:rPr>
      <w:vertAlign w:val="superscript"/>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2F1805"/>
    <w:rPr>
      <w:rFonts w:ascii="Times New Roman" w:eastAsia="Arial Unicode MS" w:hAnsi="Times New Roman" w:cs="Times New Roman"/>
      <w:kern w:val="0"/>
      <w:sz w:val="24"/>
      <w:szCs w:val="24"/>
      <w:lang w:val="en-US"/>
      <w14:ligatures w14:val="none"/>
    </w:rPr>
  </w:style>
  <w:style w:type="character" w:styleId="FootnoteReference">
    <w:name w:val="footnote reference"/>
    <w:basedOn w:val="DefaultParagraphFont"/>
    <w:uiPriority w:val="99"/>
    <w:semiHidden/>
    <w:unhideWhenUsed/>
    <w:rsid w:val="002F1805"/>
    <w:rPr>
      <w:vertAlign w:val="superscript"/>
    </w:rPr>
  </w:style>
  <w:style w:type="paragraph" w:styleId="FootnoteText">
    <w:name w:val="footnote text"/>
    <w:basedOn w:val="Normal"/>
    <w:link w:val="FootnoteTextChar"/>
    <w:uiPriority w:val="99"/>
    <w:semiHidden/>
    <w:unhideWhenUsed/>
    <w:rsid w:val="002761E2"/>
    <w:rPr>
      <w:sz w:val="20"/>
      <w:szCs w:val="20"/>
    </w:rPr>
  </w:style>
  <w:style w:type="character" w:customStyle="1" w:styleId="FootnoteTextChar">
    <w:name w:val="Footnote Text Char"/>
    <w:basedOn w:val="DefaultParagraphFont"/>
    <w:link w:val="FootnoteText"/>
    <w:uiPriority w:val="99"/>
    <w:semiHidden/>
    <w:rsid w:val="002761E2"/>
    <w:rPr>
      <w:rFonts w:ascii="Times New Roman" w:eastAsia="Arial Unicode MS"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F50B8-A2E0-47B8-9F24-754E6C03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Brown-Pereira</dc:creator>
  <cp:keywords/>
  <dc:description/>
  <cp:lastModifiedBy>Audrey Brown-Pereira</cp:lastModifiedBy>
  <cp:revision>2</cp:revision>
  <dcterms:created xsi:type="dcterms:W3CDTF">2026-06-01T19:54:00Z</dcterms:created>
  <dcterms:modified xsi:type="dcterms:W3CDTF">2026-06-01T19:54:00Z</dcterms:modified>
</cp:coreProperties>
</file>